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E31" w:rsidRPr="003B691C" w:rsidRDefault="00A80E31">
      <w:pPr>
        <w:spacing w:before="2400"/>
        <w:rPr>
          <w:color w:val="000000" w:themeColor="text1"/>
        </w:rPr>
      </w:pPr>
    </w:p>
    <w:p w:rsidR="00A80E31" w:rsidRPr="003B691C" w:rsidRDefault="00000000">
      <w:pPr>
        <w:jc w:val="center"/>
        <w:rPr>
          <w:color w:val="000000" w:themeColor="text1"/>
        </w:rPr>
      </w:pPr>
      <w:r w:rsidRPr="003B691C">
        <w:rPr>
          <w:b/>
          <w:bCs/>
          <w:color w:val="000000" w:themeColor="text1"/>
          <w:sz w:val="72"/>
          <w:szCs w:val="72"/>
        </w:rPr>
        <w:t>CERT</w:t>
      </w:r>
    </w:p>
    <w:p w:rsidR="00A80E31" w:rsidRPr="003B691C" w:rsidRDefault="00000000">
      <w:pPr>
        <w:spacing w:after="400"/>
        <w:jc w:val="center"/>
        <w:rPr>
          <w:color w:val="000000" w:themeColor="text1"/>
        </w:rPr>
      </w:pPr>
      <w:r w:rsidRPr="003B691C">
        <w:rPr>
          <w:color w:val="000000" w:themeColor="text1"/>
          <w:sz w:val="32"/>
          <w:szCs w:val="32"/>
        </w:rPr>
        <w:t>Certified Emissions Reduction Technologies Foundation</w:t>
      </w:r>
    </w:p>
    <w:p w:rsidR="00A80E31" w:rsidRPr="003B691C" w:rsidRDefault="00000000">
      <w:pPr>
        <w:spacing w:before="1200"/>
        <w:jc w:val="center"/>
        <w:rPr>
          <w:color w:val="000000" w:themeColor="text1"/>
        </w:rPr>
      </w:pPr>
      <w:r w:rsidRPr="003B691C">
        <w:rPr>
          <w:b/>
          <w:bCs/>
          <w:color w:val="000000" w:themeColor="text1"/>
          <w:sz w:val="44"/>
          <w:szCs w:val="44"/>
        </w:rPr>
        <w:t>DOUBLE ACCOUNTING AVOIDANCE DECLARATION</w:t>
      </w:r>
    </w:p>
    <w:p w:rsidR="00A80E31" w:rsidRPr="003B691C" w:rsidRDefault="00000000">
      <w:pPr>
        <w:spacing w:after="1600"/>
        <w:jc w:val="center"/>
        <w:rPr>
          <w:color w:val="000000" w:themeColor="text1"/>
        </w:rPr>
      </w:pPr>
      <w:r w:rsidRPr="003B691C">
        <w:rPr>
          <w:i/>
          <w:iCs/>
          <w:color w:val="000000" w:themeColor="text1"/>
          <w:sz w:val="26"/>
          <w:szCs w:val="26"/>
        </w:rPr>
        <w:t>Project Proponent Declaration under Rulebook Section 11 (Double Counting Prevention)</w:t>
      </w:r>
    </w:p>
    <w:p w:rsidR="00A80E31" w:rsidRPr="003B691C" w:rsidRDefault="00000000">
      <w:pPr>
        <w:jc w:val="center"/>
        <w:rPr>
          <w:color w:val="000000" w:themeColor="text1"/>
        </w:rPr>
      </w:pPr>
      <w:r w:rsidRPr="003B691C">
        <w:rPr>
          <w:color w:val="000000" w:themeColor="text1"/>
        </w:rPr>
        <w:t>Document ID: CERT-FRM-002</w:t>
      </w:r>
    </w:p>
    <w:p w:rsidR="00A80E31" w:rsidRPr="003B691C" w:rsidRDefault="00000000">
      <w:pPr>
        <w:jc w:val="center"/>
        <w:rPr>
          <w:color w:val="000000" w:themeColor="text1"/>
        </w:rPr>
      </w:pPr>
      <w:r w:rsidRPr="003B691C">
        <w:rPr>
          <w:color w:val="000000" w:themeColor="text1"/>
        </w:rPr>
        <w:t xml:space="preserve">Version 1.0 </w:t>
      </w:r>
    </w:p>
    <w:p w:rsidR="00A80E31" w:rsidRPr="003B691C" w:rsidRDefault="00000000">
      <w:pPr>
        <w:jc w:val="center"/>
        <w:rPr>
          <w:color w:val="000000" w:themeColor="text1"/>
        </w:rPr>
      </w:pPr>
      <w:r w:rsidRPr="003B691C">
        <w:rPr>
          <w:color w:val="000000" w:themeColor="text1"/>
        </w:rPr>
        <w:t>Date: 2 July 2026</w:t>
      </w:r>
    </w:p>
    <w:p w:rsidR="00A80E31" w:rsidRPr="003B691C" w:rsidRDefault="00000000">
      <w:pPr>
        <w:jc w:val="center"/>
        <w:rPr>
          <w:color w:val="000000" w:themeColor="text1"/>
        </w:rPr>
      </w:pPr>
      <w:r w:rsidRPr="003B691C">
        <w:rPr>
          <w:color w:val="000000" w:themeColor="text1"/>
        </w:rPr>
        <w:t>Classification: Public</w:t>
      </w:r>
    </w:p>
    <w:p w:rsidR="00A80E31" w:rsidRPr="003B691C" w:rsidRDefault="00000000">
      <w:pPr>
        <w:rPr>
          <w:color w:val="000000" w:themeColor="text1"/>
        </w:rPr>
      </w:pPr>
      <w:r w:rsidRPr="003B691C">
        <w:rPr>
          <w:color w:val="000000" w:themeColor="text1"/>
        </w:rPr>
        <w:br w:type="page"/>
      </w:r>
    </w:p>
    <w:p w:rsidR="00A80E31" w:rsidRPr="003B691C" w:rsidRDefault="00000000">
      <w:pPr>
        <w:pStyle w:val="Heading2"/>
        <w:rPr>
          <w:color w:val="000000" w:themeColor="text1"/>
        </w:rPr>
      </w:pPr>
      <w:bookmarkStart w:id="0" w:name="_Toc234061019"/>
      <w:r w:rsidRPr="003B691C">
        <w:rPr>
          <w:color w:val="000000" w:themeColor="text1"/>
        </w:rPr>
        <w:lastRenderedPageBreak/>
        <w:t>Document Control</w:t>
      </w:r>
      <w:bookmarkEnd w:id="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3B691C" w:rsidRPr="003B691C">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Field</w:t>
            </w:r>
          </w:p>
        </w:tc>
        <w:tc>
          <w:tcPr>
            <w:tcW w:w="67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Detail</w:t>
            </w:r>
          </w:p>
        </w:tc>
      </w:tr>
      <w:tr w:rsidR="003B691C" w:rsidRPr="003B691C">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Document ID</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CERT-FRM-002</w:t>
            </w:r>
          </w:p>
        </w:tc>
      </w:tr>
      <w:tr w:rsidR="003B691C" w:rsidRPr="003B691C">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Title</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CERT Double Accounting Avoidance Declaration</w:t>
            </w:r>
          </w:p>
        </w:tc>
      </w:tr>
      <w:tr w:rsidR="003B691C" w:rsidRPr="003B691C">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Version</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 xml:space="preserve">1.0 </w:t>
            </w:r>
          </w:p>
        </w:tc>
      </w:tr>
      <w:tr w:rsidR="003B691C" w:rsidRPr="003B691C">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Status</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3B691C">
            <w:pPr>
              <w:rPr>
                <w:color w:val="000000" w:themeColor="text1"/>
              </w:rPr>
            </w:pPr>
            <w:r>
              <w:rPr>
                <w:color w:val="000000" w:themeColor="text1"/>
                <w:sz w:val="20"/>
                <w:szCs w:val="20"/>
              </w:rPr>
              <w:t>Approved</w:t>
            </w:r>
          </w:p>
        </w:tc>
      </w:tr>
      <w:tr w:rsidR="003B691C" w:rsidRPr="003B691C">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Owner</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Secretariat (Registry Operations)</w:t>
            </w:r>
          </w:p>
        </w:tc>
      </w:tr>
      <w:tr w:rsidR="003B691C" w:rsidRPr="003B691C">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Approver</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Standards Committee</w:t>
            </w:r>
          </w:p>
        </w:tc>
      </w:tr>
      <w:tr w:rsidR="003B691C" w:rsidRPr="003B691C">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Review cycle</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Upon material change to Rulebook Sections 8 or 11</w:t>
            </w:r>
          </w:p>
        </w:tc>
      </w:tr>
      <w:tr w:rsidR="003B691C" w:rsidRPr="003B691C">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Related documents</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CERT-REG-001 (Sections 8, 11–13); CERT-TMP-001 (§§1.16–1.17); CERT-TMP-003 (§§1.7–1.8); CERT-LGL-001; CERT-LGL-002</w:t>
            </w:r>
          </w:p>
        </w:tc>
      </w:tr>
    </w:tbl>
    <w:p w:rsidR="00A80E31" w:rsidRPr="003B691C" w:rsidRDefault="00A80E31">
      <w:pPr>
        <w:spacing w:before="240"/>
        <w:rPr>
          <w:color w:val="000000" w:themeColor="text1"/>
        </w:rPr>
      </w:pPr>
    </w:p>
    <w:p w:rsidR="00A80E31" w:rsidRPr="003B691C" w:rsidRDefault="00000000">
      <w:pPr>
        <w:pStyle w:val="Heading2"/>
        <w:rPr>
          <w:color w:val="000000" w:themeColor="text1"/>
        </w:rPr>
      </w:pPr>
      <w:bookmarkStart w:id="1" w:name="_Toc234061020"/>
      <w:r w:rsidRPr="003B691C">
        <w:rPr>
          <w:color w:val="000000" w:themeColor="text1"/>
        </w:rPr>
        <w:t>Version History</w:t>
      </w:r>
      <w:bookmarkEnd w:id="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600"/>
        <w:gridCol w:w="2600"/>
        <w:gridCol w:w="3960"/>
      </w:tblGrid>
      <w:tr w:rsidR="003B691C" w:rsidRPr="003B691C">
        <w:tblPrEx>
          <w:tblCellMar>
            <w:top w:w="0" w:type="dxa"/>
            <w:bottom w:w="0" w:type="dxa"/>
          </w:tblCellMar>
        </w:tblPrEx>
        <w:tc>
          <w:tcPr>
            <w:tcW w:w="12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Version</w:t>
            </w:r>
          </w:p>
        </w:tc>
        <w:tc>
          <w:tcPr>
            <w:tcW w:w="1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Date</w:t>
            </w:r>
          </w:p>
        </w:tc>
        <w:tc>
          <w:tcPr>
            <w:tcW w:w="2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Author</w:t>
            </w:r>
          </w:p>
        </w:tc>
        <w:tc>
          <w:tcPr>
            <w:tcW w:w="39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Description</w:t>
            </w:r>
          </w:p>
        </w:tc>
      </w:tr>
      <w:tr w:rsidR="003B691C" w:rsidRPr="003B691C">
        <w:tblPrEx>
          <w:tblCellMar>
            <w:top w:w="0" w:type="dxa"/>
            <w:bottom w:w="0" w:type="dxa"/>
          </w:tblCellMar>
        </w:tblPrEx>
        <w:tc>
          <w:tcPr>
            <w:tcW w:w="1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1.0</w:t>
            </w:r>
          </w:p>
        </w:tc>
        <w:tc>
          <w:tcPr>
            <w:tcW w:w="1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2026-07-02</w:t>
            </w:r>
          </w:p>
        </w:tc>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CERT Founding Secretariat</w:t>
            </w:r>
          </w:p>
        </w:tc>
        <w:tc>
          <w:tcPr>
            <w:tcW w:w="3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Initial draft for founding Board review.</w:t>
            </w:r>
          </w:p>
        </w:tc>
      </w:tr>
    </w:tbl>
    <w:p w:rsidR="00A80E31" w:rsidRPr="003B691C" w:rsidRDefault="00000000">
      <w:pPr>
        <w:rPr>
          <w:color w:val="000000" w:themeColor="text1"/>
        </w:rPr>
      </w:pPr>
      <w:r w:rsidRPr="003B691C">
        <w:rPr>
          <w:color w:val="000000" w:themeColor="text1"/>
        </w:rPr>
        <w:br w:type="page"/>
      </w:r>
    </w:p>
    <w:p w:rsidR="00A80E31" w:rsidRPr="003B691C" w:rsidRDefault="00000000">
      <w:pPr>
        <w:pStyle w:val="Heading2"/>
        <w:rPr>
          <w:color w:val="000000" w:themeColor="text1"/>
        </w:rPr>
      </w:pPr>
      <w:bookmarkStart w:id="2" w:name="_Toc234061021"/>
      <w:r w:rsidRPr="003B691C">
        <w:rPr>
          <w:color w:val="000000" w:themeColor="text1"/>
        </w:rPr>
        <w:lastRenderedPageBreak/>
        <w:t>Table of Contents</w:t>
      </w:r>
      <w:bookmarkEnd w:id="2"/>
    </w:p>
    <w:sdt>
      <w:sdtPr>
        <w:rPr>
          <w:color w:val="000000" w:themeColor="text1"/>
        </w:rPr>
        <w:alias w:val="Table of Contents"/>
        <w:id w:val="599765898"/>
      </w:sdtPr>
      <w:sdtContent>
        <w:p w:rsidR="003B691C" w:rsidRDefault="00000000">
          <w:pPr>
            <w:pStyle w:val="TOC2"/>
            <w:tabs>
              <w:tab w:val="right" w:leader="dot" w:pos="9350"/>
            </w:tabs>
            <w:rPr>
              <w:noProof/>
            </w:rPr>
          </w:pPr>
          <w:r w:rsidRPr="003B691C">
            <w:rPr>
              <w:color w:val="000000" w:themeColor="text1"/>
            </w:rPr>
            <w:fldChar w:fldCharType="begin"/>
          </w:r>
          <w:r w:rsidRPr="003B691C">
            <w:rPr>
              <w:color w:val="000000" w:themeColor="text1"/>
            </w:rPr>
            <w:instrText>TOC \h \o "1-2"</w:instrText>
          </w:r>
          <w:r w:rsidRPr="003B691C">
            <w:rPr>
              <w:color w:val="000000" w:themeColor="text1"/>
            </w:rPr>
            <w:fldChar w:fldCharType="separate"/>
          </w:r>
          <w:hyperlink w:anchor="_Toc234061019" w:history="1">
            <w:r w:rsidR="003B691C" w:rsidRPr="00FC5273">
              <w:rPr>
                <w:rStyle w:val="Hyperlink"/>
                <w:noProof/>
              </w:rPr>
              <w:t>Document Control</w:t>
            </w:r>
            <w:r w:rsidR="003B691C">
              <w:rPr>
                <w:noProof/>
              </w:rPr>
              <w:tab/>
            </w:r>
            <w:r w:rsidR="003B691C">
              <w:rPr>
                <w:noProof/>
              </w:rPr>
              <w:fldChar w:fldCharType="begin"/>
            </w:r>
            <w:r w:rsidR="003B691C">
              <w:rPr>
                <w:noProof/>
              </w:rPr>
              <w:instrText xml:space="preserve"> PAGEREF _Toc234061019 \h </w:instrText>
            </w:r>
            <w:r w:rsidR="003B691C">
              <w:rPr>
                <w:noProof/>
              </w:rPr>
            </w:r>
            <w:r w:rsidR="003B691C">
              <w:rPr>
                <w:noProof/>
              </w:rPr>
              <w:fldChar w:fldCharType="separate"/>
            </w:r>
            <w:r w:rsidR="003B691C">
              <w:rPr>
                <w:noProof/>
              </w:rPr>
              <w:t>2</w:t>
            </w:r>
            <w:r w:rsidR="003B691C">
              <w:rPr>
                <w:noProof/>
              </w:rPr>
              <w:fldChar w:fldCharType="end"/>
            </w:r>
          </w:hyperlink>
        </w:p>
        <w:p w:rsidR="003B691C" w:rsidRDefault="003B691C">
          <w:pPr>
            <w:pStyle w:val="TOC2"/>
            <w:tabs>
              <w:tab w:val="right" w:leader="dot" w:pos="9350"/>
            </w:tabs>
            <w:rPr>
              <w:noProof/>
            </w:rPr>
          </w:pPr>
          <w:hyperlink w:anchor="_Toc234061020" w:history="1">
            <w:r w:rsidRPr="00FC5273">
              <w:rPr>
                <w:rStyle w:val="Hyperlink"/>
                <w:noProof/>
              </w:rPr>
              <w:t>Version History</w:t>
            </w:r>
            <w:r>
              <w:rPr>
                <w:noProof/>
              </w:rPr>
              <w:tab/>
            </w:r>
            <w:r>
              <w:rPr>
                <w:noProof/>
              </w:rPr>
              <w:fldChar w:fldCharType="begin"/>
            </w:r>
            <w:r>
              <w:rPr>
                <w:noProof/>
              </w:rPr>
              <w:instrText xml:space="preserve"> PAGEREF _Toc234061020 \h </w:instrText>
            </w:r>
            <w:r>
              <w:rPr>
                <w:noProof/>
              </w:rPr>
            </w:r>
            <w:r>
              <w:rPr>
                <w:noProof/>
              </w:rPr>
              <w:fldChar w:fldCharType="separate"/>
            </w:r>
            <w:r>
              <w:rPr>
                <w:noProof/>
              </w:rPr>
              <w:t>2</w:t>
            </w:r>
            <w:r>
              <w:rPr>
                <w:noProof/>
              </w:rPr>
              <w:fldChar w:fldCharType="end"/>
            </w:r>
          </w:hyperlink>
        </w:p>
        <w:p w:rsidR="003B691C" w:rsidRDefault="003B691C">
          <w:pPr>
            <w:pStyle w:val="TOC2"/>
            <w:tabs>
              <w:tab w:val="right" w:leader="dot" w:pos="9350"/>
            </w:tabs>
            <w:rPr>
              <w:noProof/>
            </w:rPr>
          </w:pPr>
          <w:hyperlink w:anchor="_Toc234061021" w:history="1">
            <w:r w:rsidRPr="00FC5273">
              <w:rPr>
                <w:rStyle w:val="Hyperlink"/>
                <w:noProof/>
              </w:rPr>
              <w:t>Table of Contents</w:t>
            </w:r>
            <w:r>
              <w:rPr>
                <w:noProof/>
              </w:rPr>
              <w:tab/>
            </w:r>
            <w:r>
              <w:rPr>
                <w:noProof/>
              </w:rPr>
              <w:fldChar w:fldCharType="begin"/>
            </w:r>
            <w:r>
              <w:rPr>
                <w:noProof/>
              </w:rPr>
              <w:instrText xml:space="preserve"> PAGEREF _Toc234061021 \h </w:instrText>
            </w:r>
            <w:r>
              <w:rPr>
                <w:noProof/>
              </w:rPr>
            </w:r>
            <w:r>
              <w:rPr>
                <w:noProof/>
              </w:rPr>
              <w:fldChar w:fldCharType="separate"/>
            </w:r>
            <w:r>
              <w:rPr>
                <w:noProof/>
              </w:rPr>
              <w:t>3</w:t>
            </w:r>
            <w:r>
              <w:rPr>
                <w:noProof/>
              </w:rPr>
              <w:fldChar w:fldCharType="end"/>
            </w:r>
          </w:hyperlink>
        </w:p>
        <w:p w:rsidR="003B691C" w:rsidRDefault="003B691C">
          <w:pPr>
            <w:pStyle w:val="TOC1"/>
            <w:tabs>
              <w:tab w:val="right" w:leader="dot" w:pos="9350"/>
            </w:tabs>
            <w:rPr>
              <w:noProof/>
            </w:rPr>
          </w:pPr>
          <w:hyperlink w:anchor="_Toc234061022" w:history="1">
            <w:r w:rsidRPr="00FC5273">
              <w:rPr>
                <w:rStyle w:val="Hyperlink"/>
                <w:noProof/>
              </w:rPr>
              <w:t>Instructions (delete from executed version)</w:t>
            </w:r>
            <w:r>
              <w:rPr>
                <w:noProof/>
              </w:rPr>
              <w:tab/>
            </w:r>
            <w:r>
              <w:rPr>
                <w:noProof/>
              </w:rPr>
              <w:fldChar w:fldCharType="begin"/>
            </w:r>
            <w:r>
              <w:rPr>
                <w:noProof/>
              </w:rPr>
              <w:instrText xml:space="preserve"> PAGEREF _Toc234061022 \h </w:instrText>
            </w:r>
            <w:r>
              <w:rPr>
                <w:noProof/>
              </w:rPr>
            </w:r>
            <w:r>
              <w:rPr>
                <w:noProof/>
              </w:rPr>
              <w:fldChar w:fldCharType="separate"/>
            </w:r>
            <w:r>
              <w:rPr>
                <w:noProof/>
              </w:rPr>
              <w:t>4</w:t>
            </w:r>
            <w:r>
              <w:rPr>
                <w:noProof/>
              </w:rPr>
              <w:fldChar w:fldCharType="end"/>
            </w:r>
          </w:hyperlink>
        </w:p>
        <w:p w:rsidR="003B691C" w:rsidRDefault="003B691C">
          <w:pPr>
            <w:pStyle w:val="TOC1"/>
            <w:tabs>
              <w:tab w:val="right" w:leader="dot" w:pos="9350"/>
            </w:tabs>
            <w:rPr>
              <w:noProof/>
            </w:rPr>
          </w:pPr>
          <w:hyperlink w:anchor="_Toc234061023" w:history="1">
            <w:r w:rsidRPr="00FC5273">
              <w:rPr>
                <w:rStyle w:val="Hyperlink"/>
                <w:noProof/>
              </w:rPr>
              <w:t>Double Accounting Avoidance Declaration</w:t>
            </w:r>
            <w:r>
              <w:rPr>
                <w:noProof/>
              </w:rPr>
              <w:tab/>
            </w:r>
            <w:r>
              <w:rPr>
                <w:noProof/>
              </w:rPr>
              <w:fldChar w:fldCharType="begin"/>
            </w:r>
            <w:r>
              <w:rPr>
                <w:noProof/>
              </w:rPr>
              <w:instrText xml:space="preserve"> PAGEREF _Toc234061023 \h </w:instrText>
            </w:r>
            <w:r>
              <w:rPr>
                <w:noProof/>
              </w:rPr>
            </w:r>
            <w:r>
              <w:rPr>
                <w:noProof/>
              </w:rPr>
              <w:fldChar w:fldCharType="separate"/>
            </w:r>
            <w:r>
              <w:rPr>
                <w:noProof/>
              </w:rPr>
              <w:t>5</w:t>
            </w:r>
            <w:r>
              <w:rPr>
                <w:noProof/>
              </w:rPr>
              <w:fldChar w:fldCharType="end"/>
            </w:r>
          </w:hyperlink>
        </w:p>
        <w:p w:rsidR="003B691C" w:rsidRDefault="003B691C">
          <w:pPr>
            <w:pStyle w:val="TOC2"/>
            <w:tabs>
              <w:tab w:val="right" w:leader="dot" w:pos="9350"/>
            </w:tabs>
            <w:rPr>
              <w:noProof/>
            </w:rPr>
          </w:pPr>
          <w:hyperlink w:anchor="_Toc234061024" w:history="1">
            <w:r w:rsidRPr="00FC5273">
              <w:rPr>
                <w:rStyle w:val="Hyperlink"/>
                <w:noProof/>
              </w:rPr>
              <w:t>Project Identification</w:t>
            </w:r>
            <w:r>
              <w:rPr>
                <w:noProof/>
              </w:rPr>
              <w:tab/>
            </w:r>
            <w:r>
              <w:rPr>
                <w:noProof/>
              </w:rPr>
              <w:fldChar w:fldCharType="begin"/>
            </w:r>
            <w:r>
              <w:rPr>
                <w:noProof/>
              </w:rPr>
              <w:instrText xml:space="preserve"> PAGEREF _Toc234061024 \h </w:instrText>
            </w:r>
            <w:r>
              <w:rPr>
                <w:noProof/>
              </w:rPr>
            </w:r>
            <w:r>
              <w:rPr>
                <w:noProof/>
              </w:rPr>
              <w:fldChar w:fldCharType="separate"/>
            </w:r>
            <w:r>
              <w:rPr>
                <w:noProof/>
              </w:rPr>
              <w:t>5</w:t>
            </w:r>
            <w:r>
              <w:rPr>
                <w:noProof/>
              </w:rPr>
              <w:fldChar w:fldCharType="end"/>
            </w:r>
          </w:hyperlink>
        </w:p>
        <w:p w:rsidR="003B691C" w:rsidRDefault="003B691C">
          <w:pPr>
            <w:pStyle w:val="TOC2"/>
            <w:tabs>
              <w:tab w:val="right" w:leader="dot" w:pos="9350"/>
            </w:tabs>
            <w:rPr>
              <w:noProof/>
            </w:rPr>
          </w:pPr>
          <w:hyperlink w:anchor="_Toc234061025" w:history="1">
            <w:r w:rsidRPr="00FC5273">
              <w:rPr>
                <w:rStyle w:val="Hyperlink"/>
                <w:noProof/>
              </w:rPr>
              <w:t>Part A – Double Issuance</w:t>
            </w:r>
            <w:r>
              <w:rPr>
                <w:noProof/>
              </w:rPr>
              <w:tab/>
            </w:r>
            <w:r>
              <w:rPr>
                <w:noProof/>
              </w:rPr>
              <w:fldChar w:fldCharType="begin"/>
            </w:r>
            <w:r>
              <w:rPr>
                <w:noProof/>
              </w:rPr>
              <w:instrText xml:space="preserve"> PAGEREF _Toc234061025 \h </w:instrText>
            </w:r>
            <w:r>
              <w:rPr>
                <w:noProof/>
              </w:rPr>
            </w:r>
            <w:r>
              <w:rPr>
                <w:noProof/>
              </w:rPr>
              <w:fldChar w:fldCharType="separate"/>
            </w:r>
            <w:r>
              <w:rPr>
                <w:noProof/>
              </w:rPr>
              <w:t>5</w:t>
            </w:r>
            <w:r>
              <w:rPr>
                <w:noProof/>
              </w:rPr>
              <w:fldChar w:fldCharType="end"/>
            </w:r>
          </w:hyperlink>
        </w:p>
        <w:p w:rsidR="003B691C" w:rsidRDefault="003B691C">
          <w:pPr>
            <w:pStyle w:val="TOC2"/>
            <w:tabs>
              <w:tab w:val="right" w:leader="dot" w:pos="9350"/>
            </w:tabs>
            <w:rPr>
              <w:noProof/>
            </w:rPr>
          </w:pPr>
          <w:hyperlink w:anchor="_Toc234061026" w:history="1">
            <w:r w:rsidRPr="00FC5273">
              <w:rPr>
                <w:rStyle w:val="Hyperlink"/>
                <w:noProof/>
              </w:rPr>
              <w:t>Part B – Double Use</w:t>
            </w:r>
            <w:r>
              <w:rPr>
                <w:noProof/>
              </w:rPr>
              <w:tab/>
            </w:r>
            <w:r>
              <w:rPr>
                <w:noProof/>
              </w:rPr>
              <w:fldChar w:fldCharType="begin"/>
            </w:r>
            <w:r>
              <w:rPr>
                <w:noProof/>
              </w:rPr>
              <w:instrText xml:space="preserve"> PAGEREF _Toc234061026 \h </w:instrText>
            </w:r>
            <w:r>
              <w:rPr>
                <w:noProof/>
              </w:rPr>
            </w:r>
            <w:r>
              <w:rPr>
                <w:noProof/>
              </w:rPr>
              <w:fldChar w:fldCharType="separate"/>
            </w:r>
            <w:r>
              <w:rPr>
                <w:noProof/>
              </w:rPr>
              <w:t>5</w:t>
            </w:r>
            <w:r>
              <w:rPr>
                <w:noProof/>
              </w:rPr>
              <w:fldChar w:fldCharType="end"/>
            </w:r>
          </w:hyperlink>
        </w:p>
        <w:p w:rsidR="003B691C" w:rsidRDefault="003B691C">
          <w:pPr>
            <w:pStyle w:val="TOC2"/>
            <w:tabs>
              <w:tab w:val="right" w:leader="dot" w:pos="9350"/>
            </w:tabs>
            <w:rPr>
              <w:noProof/>
            </w:rPr>
          </w:pPr>
          <w:hyperlink w:anchor="_Toc234061027" w:history="1">
            <w:r w:rsidRPr="00FC5273">
              <w:rPr>
                <w:rStyle w:val="Hyperlink"/>
                <w:noProof/>
              </w:rPr>
              <w:t>Part C – Double Claiming and Other Environmental Attribute Instruments</w:t>
            </w:r>
            <w:r>
              <w:rPr>
                <w:noProof/>
              </w:rPr>
              <w:tab/>
            </w:r>
            <w:r>
              <w:rPr>
                <w:noProof/>
              </w:rPr>
              <w:fldChar w:fldCharType="begin"/>
            </w:r>
            <w:r>
              <w:rPr>
                <w:noProof/>
              </w:rPr>
              <w:instrText xml:space="preserve"> PAGEREF _Toc234061027 \h </w:instrText>
            </w:r>
            <w:r>
              <w:rPr>
                <w:noProof/>
              </w:rPr>
            </w:r>
            <w:r>
              <w:rPr>
                <w:noProof/>
              </w:rPr>
              <w:fldChar w:fldCharType="separate"/>
            </w:r>
            <w:r>
              <w:rPr>
                <w:noProof/>
              </w:rPr>
              <w:t>6</w:t>
            </w:r>
            <w:r>
              <w:rPr>
                <w:noProof/>
              </w:rPr>
              <w:fldChar w:fldCharType="end"/>
            </w:r>
          </w:hyperlink>
        </w:p>
        <w:p w:rsidR="003B691C" w:rsidRDefault="003B691C">
          <w:pPr>
            <w:pStyle w:val="TOC2"/>
            <w:tabs>
              <w:tab w:val="right" w:leader="dot" w:pos="9350"/>
            </w:tabs>
            <w:rPr>
              <w:noProof/>
            </w:rPr>
          </w:pPr>
          <w:hyperlink w:anchor="_Toc234061028" w:history="1">
            <w:r w:rsidRPr="00FC5273">
              <w:rPr>
                <w:rStyle w:val="Hyperlink"/>
                <w:noProof/>
              </w:rPr>
              <w:t>Part D – Continuing Obligations</w:t>
            </w:r>
            <w:r>
              <w:rPr>
                <w:noProof/>
              </w:rPr>
              <w:tab/>
            </w:r>
            <w:r>
              <w:rPr>
                <w:noProof/>
              </w:rPr>
              <w:fldChar w:fldCharType="begin"/>
            </w:r>
            <w:r>
              <w:rPr>
                <w:noProof/>
              </w:rPr>
              <w:instrText xml:space="preserve"> PAGEREF _Toc234061028 \h </w:instrText>
            </w:r>
            <w:r>
              <w:rPr>
                <w:noProof/>
              </w:rPr>
            </w:r>
            <w:r>
              <w:rPr>
                <w:noProof/>
              </w:rPr>
              <w:fldChar w:fldCharType="separate"/>
            </w:r>
            <w:r>
              <w:rPr>
                <w:noProof/>
              </w:rPr>
              <w:t>6</w:t>
            </w:r>
            <w:r>
              <w:rPr>
                <w:noProof/>
              </w:rPr>
              <w:fldChar w:fldCharType="end"/>
            </w:r>
          </w:hyperlink>
        </w:p>
        <w:p w:rsidR="003B691C" w:rsidRDefault="003B691C">
          <w:pPr>
            <w:pStyle w:val="TOC2"/>
            <w:tabs>
              <w:tab w:val="right" w:leader="dot" w:pos="9350"/>
            </w:tabs>
            <w:rPr>
              <w:noProof/>
            </w:rPr>
          </w:pPr>
          <w:hyperlink w:anchor="_Toc234061029" w:history="1">
            <w:r w:rsidRPr="00FC5273">
              <w:rPr>
                <w:rStyle w:val="Hyperlink"/>
                <w:noProof/>
              </w:rPr>
              <w:t>Part E – Acknowledgement and Signature</w:t>
            </w:r>
            <w:r>
              <w:rPr>
                <w:noProof/>
              </w:rPr>
              <w:tab/>
            </w:r>
            <w:r>
              <w:rPr>
                <w:noProof/>
              </w:rPr>
              <w:fldChar w:fldCharType="begin"/>
            </w:r>
            <w:r>
              <w:rPr>
                <w:noProof/>
              </w:rPr>
              <w:instrText xml:space="preserve"> PAGEREF _Toc234061029 \h </w:instrText>
            </w:r>
            <w:r>
              <w:rPr>
                <w:noProof/>
              </w:rPr>
            </w:r>
            <w:r>
              <w:rPr>
                <w:noProof/>
              </w:rPr>
              <w:fldChar w:fldCharType="separate"/>
            </w:r>
            <w:r>
              <w:rPr>
                <w:noProof/>
              </w:rPr>
              <w:t>6</w:t>
            </w:r>
            <w:r>
              <w:rPr>
                <w:noProof/>
              </w:rPr>
              <w:fldChar w:fldCharType="end"/>
            </w:r>
          </w:hyperlink>
        </w:p>
        <w:p w:rsidR="003B691C" w:rsidRDefault="003B691C">
          <w:pPr>
            <w:pStyle w:val="TOC2"/>
            <w:tabs>
              <w:tab w:val="right" w:leader="dot" w:pos="9350"/>
            </w:tabs>
            <w:rPr>
              <w:noProof/>
            </w:rPr>
          </w:pPr>
          <w:hyperlink w:anchor="_Toc234061030" w:history="1">
            <w:r w:rsidRPr="00FC5273">
              <w:rPr>
                <w:rStyle w:val="Hyperlink"/>
                <w:noProof/>
              </w:rPr>
              <w:t>Attachments</w:t>
            </w:r>
            <w:r>
              <w:rPr>
                <w:noProof/>
              </w:rPr>
              <w:tab/>
            </w:r>
            <w:r>
              <w:rPr>
                <w:noProof/>
              </w:rPr>
              <w:fldChar w:fldCharType="begin"/>
            </w:r>
            <w:r>
              <w:rPr>
                <w:noProof/>
              </w:rPr>
              <w:instrText xml:space="preserve"> PAGEREF _Toc234061030 \h </w:instrText>
            </w:r>
            <w:r>
              <w:rPr>
                <w:noProof/>
              </w:rPr>
            </w:r>
            <w:r>
              <w:rPr>
                <w:noProof/>
              </w:rPr>
              <w:fldChar w:fldCharType="separate"/>
            </w:r>
            <w:r>
              <w:rPr>
                <w:noProof/>
              </w:rPr>
              <w:t>7</w:t>
            </w:r>
            <w:r>
              <w:rPr>
                <w:noProof/>
              </w:rPr>
              <w:fldChar w:fldCharType="end"/>
            </w:r>
          </w:hyperlink>
        </w:p>
        <w:p w:rsidR="003B691C" w:rsidRDefault="003B691C">
          <w:pPr>
            <w:pStyle w:val="TOC2"/>
            <w:tabs>
              <w:tab w:val="right" w:leader="dot" w:pos="9350"/>
            </w:tabs>
            <w:rPr>
              <w:noProof/>
            </w:rPr>
          </w:pPr>
          <w:hyperlink w:anchor="_Toc234061031" w:history="1">
            <w:r w:rsidRPr="00FC5273">
              <w:rPr>
                <w:rStyle w:val="Hyperlink"/>
                <w:noProof/>
              </w:rPr>
              <w:t>For CERT Registry Use Only</w:t>
            </w:r>
            <w:r>
              <w:rPr>
                <w:noProof/>
              </w:rPr>
              <w:tab/>
            </w:r>
            <w:r>
              <w:rPr>
                <w:noProof/>
              </w:rPr>
              <w:fldChar w:fldCharType="begin"/>
            </w:r>
            <w:r>
              <w:rPr>
                <w:noProof/>
              </w:rPr>
              <w:instrText xml:space="preserve"> PAGEREF _Toc234061031 \h </w:instrText>
            </w:r>
            <w:r>
              <w:rPr>
                <w:noProof/>
              </w:rPr>
            </w:r>
            <w:r>
              <w:rPr>
                <w:noProof/>
              </w:rPr>
              <w:fldChar w:fldCharType="separate"/>
            </w:r>
            <w:r>
              <w:rPr>
                <w:noProof/>
              </w:rPr>
              <w:t>7</w:t>
            </w:r>
            <w:r>
              <w:rPr>
                <w:noProof/>
              </w:rPr>
              <w:fldChar w:fldCharType="end"/>
            </w:r>
          </w:hyperlink>
        </w:p>
        <w:p w:rsidR="00A80E31" w:rsidRPr="003B691C" w:rsidRDefault="00000000">
          <w:pPr>
            <w:rPr>
              <w:color w:val="000000" w:themeColor="text1"/>
            </w:rPr>
          </w:pPr>
          <w:r w:rsidRPr="003B691C">
            <w:rPr>
              <w:color w:val="000000" w:themeColor="text1"/>
            </w:rPr>
            <w:fldChar w:fldCharType="end"/>
          </w:r>
        </w:p>
      </w:sdtContent>
    </w:sdt>
    <w:p w:rsidR="00A80E31" w:rsidRPr="003B691C" w:rsidRDefault="00000000">
      <w:pPr>
        <w:pStyle w:val="Heading1"/>
        <w:pageBreakBefore/>
        <w:rPr>
          <w:color w:val="000000" w:themeColor="text1"/>
        </w:rPr>
      </w:pPr>
      <w:bookmarkStart w:id="3" w:name="_Toc234061022"/>
      <w:r w:rsidRPr="003B691C">
        <w:rPr>
          <w:color w:val="000000" w:themeColor="text1"/>
        </w:rPr>
        <w:lastRenderedPageBreak/>
        <w:t>Instructions (delete from executed version)</w:t>
      </w:r>
      <w:bookmarkEnd w:id="3"/>
    </w:p>
    <w:p w:rsidR="00A80E31" w:rsidRPr="003B691C" w:rsidRDefault="00000000">
      <w:pPr>
        <w:spacing w:after="140"/>
        <w:jc w:val="both"/>
        <w:rPr>
          <w:color w:val="000000" w:themeColor="text1"/>
        </w:rPr>
      </w:pPr>
      <w:r w:rsidRPr="003B691C">
        <w:rPr>
          <w:i/>
          <w:iCs/>
          <w:color w:val="000000" w:themeColor="text1"/>
          <w:sz w:val="20"/>
          <w:szCs w:val="20"/>
        </w:rPr>
        <w:t>This Declaration implements Rulebook Section 11 (Double Counting Prevention) and is required: (a) with every registration request; (b) with every crediting period renewal; and (c) updated with any monitoring report where circumstances have changed. It is signed by an authorised signatory of the Project Proponent (or its Authorized Representative under CERT-LGL-001, where the agency scope includes submissions) and submitted to the CERT Registry as a signed, non-editable PDF. Select or complete all items; strike through only where an instruction so permits. A false or incomplete declaration is sanctionable under Rulebook Sections 12–13 and may result in refusal, suspension, de-registration, or compensation obligations.</w:t>
      </w:r>
    </w:p>
    <w:p w:rsidR="00A80E31" w:rsidRPr="003B691C" w:rsidRDefault="00000000">
      <w:pPr>
        <w:pStyle w:val="Heading1"/>
        <w:pageBreakBefore/>
        <w:rPr>
          <w:color w:val="000000" w:themeColor="text1"/>
        </w:rPr>
      </w:pPr>
      <w:bookmarkStart w:id="4" w:name="_Toc234061023"/>
      <w:r w:rsidRPr="003B691C">
        <w:rPr>
          <w:color w:val="000000" w:themeColor="text1"/>
        </w:rPr>
        <w:lastRenderedPageBreak/>
        <w:t>Double Accounting Avoidance Declaration</w:t>
      </w:r>
      <w:bookmarkEnd w:id="4"/>
    </w:p>
    <w:p w:rsidR="00A80E31" w:rsidRPr="003B691C" w:rsidRDefault="00000000">
      <w:pPr>
        <w:pStyle w:val="Heading2"/>
        <w:rPr>
          <w:color w:val="000000" w:themeColor="text1"/>
        </w:rPr>
      </w:pPr>
      <w:bookmarkStart w:id="5" w:name="_Toc234061024"/>
      <w:r w:rsidRPr="003B691C">
        <w:rPr>
          <w:color w:val="000000" w:themeColor="text1"/>
        </w:rPr>
        <w:t>Project Identification</w:t>
      </w:r>
      <w:bookmarkEnd w:id="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5560"/>
      </w:tblGrid>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Field</w:t>
            </w:r>
          </w:p>
        </w:tc>
        <w:tc>
          <w:tcPr>
            <w:tcW w:w="55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Entry</w:t>
            </w:r>
          </w:p>
        </w:tc>
      </w:tr>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Project name</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A80E31">
            <w:pPr>
              <w:rPr>
                <w:color w:val="000000" w:themeColor="text1"/>
              </w:rPr>
            </w:pPr>
          </w:p>
        </w:tc>
      </w:tr>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CERT Project ID</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A80E31">
            <w:pPr>
              <w:rPr>
                <w:color w:val="000000" w:themeColor="text1"/>
              </w:rPr>
            </w:pPr>
          </w:p>
        </w:tc>
      </w:tr>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Project Proponent (legal name)</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A80E31">
            <w:pPr>
              <w:rPr>
                <w:color w:val="000000" w:themeColor="text1"/>
              </w:rPr>
            </w:pPr>
          </w:p>
        </w:tc>
      </w:tr>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Host country</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A80E31">
            <w:pPr>
              <w:rPr>
                <w:color w:val="000000" w:themeColor="text1"/>
              </w:rPr>
            </w:pPr>
          </w:p>
        </w:tc>
      </w:tr>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Applied methodology (ID, version)</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A80E31">
            <w:pPr>
              <w:rPr>
                <w:color w:val="000000" w:themeColor="text1"/>
              </w:rPr>
            </w:pPr>
          </w:p>
        </w:tc>
      </w:tr>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Crediting period</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[DD-MMM-YYYY to DD-MMM-YYYY]</w:t>
            </w:r>
          </w:p>
        </w:tc>
      </w:tr>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Declaration type</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[Registration / Crediting period renewal / Update with monitoring report no. ___]</w:t>
            </w:r>
          </w:p>
        </w:tc>
      </w:tr>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Monitoring/vintage period covered</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[DD-MMM-YYYY to DD-MMM-YYYY]</w:t>
            </w:r>
          </w:p>
        </w:tc>
      </w:tr>
    </w:tbl>
    <w:p w:rsidR="00A80E31" w:rsidRPr="003B691C" w:rsidRDefault="00000000">
      <w:pPr>
        <w:pStyle w:val="Heading2"/>
        <w:rPr>
          <w:color w:val="000000" w:themeColor="text1"/>
        </w:rPr>
      </w:pPr>
      <w:bookmarkStart w:id="6" w:name="_Toc234061025"/>
      <w:r w:rsidRPr="003B691C">
        <w:rPr>
          <w:color w:val="000000" w:themeColor="text1"/>
        </w:rPr>
        <w:t>Part A – Double Issuance</w:t>
      </w:r>
      <w:bookmarkEnd w:id="6"/>
    </w:p>
    <w:p w:rsidR="00A80E31" w:rsidRPr="003B691C" w:rsidRDefault="00000000">
      <w:pPr>
        <w:spacing w:after="160"/>
        <w:jc w:val="both"/>
        <w:rPr>
          <w:color w:val="000000" w:themeColor="text1"/>
        </w:rPr>
      </w:pPr>
      <w:r w:rsidRPr="003B691C">
        <w:rPr>
          <w:color w:val="000000" w:themeColor="text1"/>
        </w:rPr>
        <w:t>The Project Proponent declares, in respect of the project and all emission reductions and removals for which CRU issuance has been or will be sought:</w:t>
      </w:r>
    </w:p>
    <w:p w:rsidR="00A80E31" w:rsidRPr="003B691C" w:rsidRDefault="00000000">
      <w:pPr>
        <w:spacing w:after="160"/>
        <w:jc w:val="both"/>
        <w:rPr>
          <w:color w:val="000000" w:themeColor="text1"/>
        </w:rPr>
      </w:pPr>
      <w:r w:rsidRPr="003B691C">
        <w:rPr>
          <w:b/>
          <w:bCs/>
          <w:color w:val="000000" w:themeColor="text1"/>
        </w:rPr>
        <w:t xml:space="preserve">A.1 </w:t>
      </w:r>
      <w:r w:rsidRPr="003B691C">
        <w:rPr>
          <w:color w:val="000000" w:themeColor="text1"/>
        </w:rPr>
        <w:t>Other GHG programmes. The project, and any activity instance within it, [SELECT ONE]: (a) is not registered, has never been registered, and is not seeking registration under any other GHG crediting programme or standard; OR (b) is or was registered or seeking registration under the following programme(s) [IDENTIFY PROGRAMME, PROJECT ID, STATUS], and evidence is attached demonstrating that crediting under each such programme is deactivated, withdrawn or rejected such that no unit has been or can be issued by any other programme for the same emission reductions or removals (Rulebook 11.1).</w:t>
      </w:r>
    </w:p>
    <w:p w:rsidR="00A80E31" w:rsidRPr="003B691C" w:rsidRDefault="00000000">
      <w:pPr>
        <w:spacing w:after="160"/>
        <w:jc w:val="both"/>
        <w:rPr>
          <w:color w:val="000000" w:themeColor="text1"/>
        </w:rPr>
      </w:pPr>
      <w:r w:rsidRPr="003B691C">
        <w:rPr>
          <w:b/>
          <w:bCs/>
          <w:color w:val="000000" w:themeColor="text1"/>
        </w:rPr>
        <w:t xml:space="preserve">A.2 </w:t>
      </w:r>
      <w:r w:rsidRPr="003B691C">
        <w:rPr>
          <w:color w:val="000000" w:themeColor="text1"/>
        </w:rPr>
        <w:t>No overlapping activity. No other project registered or seeking registration under any GHG programme claims emission reductions or removals from the same activity, installation, site or resource, in whole or in part, for any period for which CRU issuance is or will be sought.</w:t>
      </w:r>
    </w:p>
    <w:p w:rsidR="00A80E31" w:rsidRPr="003B691C" w:rsidRDefault="00000000">
      <w:pPr>
        <w:spacing w:after="160"/>
        <w:jc w:val="both"/>
        <w:rPr>
          <w:color w:val="000000" w:themeColor="text1"/>
        </w:rPr>
      </w:pPr>
      <w:r w:rsidRPr="003B691C">
        <w:rPr>
          <w:b/>
          <w:bCs/>
          <w:color w:val="000000" w:themeColor="text1"/>
        </w:rPr>
        <w:t xml:space="preserve">A.3 </w:t>
      </w:r>
      <w:r w:rsidRPr="003B691C">
        <w:rPr>
          <w:color w:val="000000" w:themeColor="text1"/>
        </w:rPr>
        <w:t>Geospatial declaration (land-based projects only; otherwise state "Not applicable"). The geographic boundary submitted to the CERT Registry is complete and accurate, does not overlap with the boundary of any project under any other GHG programme, and the Proponent consents to geospatial overlap screening by CERT against other programmes’ public data.</w:t>
      </w:r>
    </w:p>
    <w:p w:rsidR="00A80E31" w:rsidRPr="003B691C" w:rsidRDefault="00000000">
      <w:pPr>
        <w:spacing w:after="160"/>
        <w:jc w:val="both"/>
        <w:rPr>
          <w:color w:val="000000" w:themeColor="text1"/>
        </w:rPr>
      </w:pPr>
      <w:r w:rsidRPr="003B691C">
        <w:rPr>
          <w:b/>
          <w:bCs/>
          <w:color w:val="000000" w:themeColor="text1"/>
        </w:rPr>
        <w:t xml:space="preserve">A.4 </w:t>
      </w:r>
      <w:r w:rsidRPr="003B691C">
        <w:rPr>
          <w:color w:val="000000" w:themeColor="text1"/>
        </w:rPr>
        <w:t>Vintage integrity. No emission reduction or removal for which issuance is sought has previously been issued, in any form, under any programme, including for periods before the project’s participation in the CERT Registry.</w:t>
      </w:r>
    </w:p>
    <w:p w:rsidR="00A80E31" w:rsidRPr="003B691C" w:rsidRDefault="00000000">
      <w:pPr>
        <w:pStyle w:val="Heading2"/>
        <w:rPr>
          <w:color w:val="000000" w:themeColor="text1"/>
        </w:rPr>
      </w:pPr>
      <w:bookmarkStart w:id="7" w:name="_Toc234061026"/>
      <w:r w:rsidRPr="003B691C">
        <w:rPr>
          <w:color w:val="000000" w:themeColor="text1"/>
        </w:rPr>
        <w:t>Part B – Double Use</w:t>
      </w:r>
      <w:bookmarkEnd w:id="7"/>
    </w:p>
    <w:p w:rsidR="00A80E31" w:rsidRPr="003B691C" w:rsidRDefault="00000000">
      <w:pPr>
        <w:spacing w:after="160"/>
        <w:jc w:val="both"/>
        <w:rPr>
          <w:color w:val="000000" w:themeColor="text1"/>
        </w:rPr>
      </w:pPr>
      <w:r w:rsidRPr="003B691C">
        <w:rPr>
          <w:b/>
          <w:bCs/>
          <w:color w:val="000000" w:themeColor="text1"/>
        </w:rPr>
        <w:t xml:space="preserve">B.1 </w:t>
      </w:r>
      <w:r w:rsidRPr="003B691C">
        <w:rPr>
          <w:color w:val="000000" w:themeColor="text1"/>
        </w:rPr>
        <w:t>The Proponent acknowledges that each CRU is uniquely serialised, that retirement and cancellation are irreversible, and undertakes not to sell, assign, or represent the same CRU, or the same underlying reduction or removal, to more than one counterparty or for more than one purpose.</w:t>
      </w:r>
    </w:p>
    <w:p w:rsidR="00A80E31" w:rsidRPr="003B691C" w:rsidRDefault="00000000">
      <w:pPr>
        <w:spacing w:after="160"/>
        <w:jc w:val="both"/>
        <w:rPr>
          <w:color w:val="000000" w:themeColor="text1"/>
        </w:rPr>
      </w:pPr>
      <w:r w:rsidRPr="003B691C">
        <w:rPr>
          <w:b/>
          <w:bCs/>
          <w:color w:val="000000" w:themeColor="text1"/>
        </w:rPr>
        <w:lastRenderedPageBreak/>
        <w:t xml:space="preserve">B.2 </w:t>
      </w:r>
      <w:r w:rsidRPr="003B691C">
        <w:rPr>
          <w:color w:val="000000" w:themeColor="text1"/>
        </w:rPr>
        <w:t>Where CRUs are sold forward or under offtake agreements, the Proponent warrants that contractual quantities do not exceed the quantities recorded or reasonably expected to be issued to its account, and that no instrument outside the CERT Registry (token, certificate, or contractual right) purports to convey the same underlying reduction or removal separately from the CRU.</w:t>
      </w:r>
    </w:p>
    <w:p w:rsidR="00A80E31" w:rsidRPr="003B691C" w:rsidRDefault="00000000">
      <w:pPr>
        <w:pStyle w:val="Heading2"/>
        <w:rPr>
          <w:color w:val="000000" w:themeColor="text1"/>
        </w:rPr>
      </w:pPr>
      <w:bookmarkStart w:id="8" w:name="_Toc234061027"/>
      <w:r w:rsidRPr="003B691C">
        <w:rPr>
          <w:color w:val="000000" w:themeColor="text1"/>
        </w:rPr>
        <w:t>Part C – Double Claiming and Other Environmental Attribute Instruments</w:t>
      </w:r>
      <w:bookmarkEnd w:id="8"/>
    </w:p>
    <w:p w:rsidR="00A80E31" w:rsidRPr="003B691C" w:rsidRDefault="00000000">
      <w:pPr>
        <w:spacing w:after="160"/>
        <w:jc w:val="both"/>
        <w:rPr>
          <w:color w:val="000000" w:themeColor="text1"/>
        </w:rPr>
      </w:pPr>
      <w:r w:rsidRPr="003B691C">
        <w:rPr>
          <w:b/>
          <w:bCs/>
          <w:color w:val="000000" w:themeColor="text1"/>
        </w:rPr>
        <w:t xml:space="preserve">C.1 </w:t>
      </w:r>
      <w:r w:rsidRPr="003B691C">
        <w:rPr>
          <w:color w:val="000000" w:themeColor="text1"/>
        </w:rPr>
        <w:t>Other instruments. In respect of the same electricity, fuel, activity or reductions, the project [SELECT ALL THAT APPLY AND IDENTIFY]: (a) has not been issued and will not seek renewable energy certificates, guarantees of origin, fuel-standard credits, energy-savings certificates, or any other environmental attribute instrument; OR (b) has been or will be issued the following instruments [IDENTIFY INSTRUMENT, SCHEME, VOLUMES, PERIODS], and either (</w:t>
      </w:r>
      <w:proofErr w:type="spellStart"/>
      <w:r w:rsidRPr="003B691C">
        <w:rPr>
          <w:color w:val="000000" w:themeColor="text1"/>
        </w:rPr>
        <w:t>i</w:t>
      </w:r>
      <w:proofErr w:type="spellEnd"/>
      <w:r w:rsidRPr="003B691C">
        <w:rPr>
          <w:color w:val="000000" w:themeColor="text1"/>
        </w:rPr>
        <w:t>) evidence is attached that such instruments are, and will remain, cancelled or not sold for the periods for which CRUs are issued, or (ii) the applied methodology expressly permits coexistence and its conditions are met [CITE PROVISION].</w:t>
      </w:r>
    </w:p>
    <w:p w:rsidR="00A80E31" w:rsidRPr="003B691C" w:rsidRDefault="00000000">
      <w:pPr>
        <w:spacing w:after="160"/>
        <w:jc w:val="both"/>
        <w:rPr>
          <w:color w:val="000000" w:themeColor="text1"/>
        </w:rPr>
      </w:pPr>
      <w:r w:rsidRPr="003B691C">
        <w:rPr>
          <w:b/>
          <w:bCs/>
          <w:color w:val="000000" w:themeColor="text1"/>
        </w:rPr>
        <w:t xml:space="preserve">C.2 </w:t>
      </w:r>
      <w:r w:rsidRPr="003B691C">
        <w:rPr>
          <w:color w:val="000000" w:themeColor="text1"/>
        </w:rPr>
        <w:t>Article 6 and NDC accounting. The intended use profile of the CRUs is [SELECT]: (a) authorised under Article 6 — a Letter of Authorization (CERT-LGL-002 or equivalent) is attached or referenced, and the Proponent will support recording of corresponding-adjustment status per Rulebook Section 8; or (b) not authorised — the Proponent acknowledges CRUs will carry "not authorised" attributes and undertakes not to market them as authorised or as exempt from host-country NDC accounting.</w:t>
      </w:r>
    </w:p>
    <w:p w:rsidR="00A80E31" w:rsidRPr="003B691C" w:rsidRDefault="00000000">
      <w:pPr>
        <w:spacing w:after="160"/>
        <w:jc w:val="both"/>
        <w:rPr>
          <w:color w:val="000000" w:themeColor="text1"/>
        </w:rPr>
      </w:pPr>
      <w:r w:rsidRPr="003B691C">
        <w:rPr>
          <w:b/>
          <w:bCs/>
          <w:color w:val="000000" w:themeColor="text1"/>
        </w:rPr>
        <w:t xml:space="preserve">C.3 </w:t>
      </w:r>
      <w:r w:rsidRPr="003B691C">
        <w:rPr>
          <w:color w:val="000000" w:themeColor="text1"/>
        </w:rPr>
        <w:t>The Proponent has not made and will not make, and will use commercially reasonable efforts to ensure its buyers do not make, claims that the same reduction or removal counts towards more than one target, offset claim, or compliance obligation, in accordance with the retirement purpose recorded in the CERT Registry.</w:t>
      </w:r>
    </w:p>
    <w:p w:rsidR="00A80E31" w:rsidRPr="003B691C" w:rsidRDefault="00000000">
      <w:pPr>
        <w:pStyle w:val="Heading2"/>
        <w:rPr>
          <w:color w:val="000000" w:themeColor="text1"/>
        </w:rPr>
      </w:pPr>
      <w:bookmarkStart w:id="9" w:name="_Toc234061028"/>
      <w:r w:rsidRPr="003B691C">
        <w:rPr>
          <w:color w:val="000000" w:themeColor="text1"/>
        </w:rPr>
        <w:t>Part D – Continuing Obligations</w:t>
      </w:r>
      <w:bookmarkEnd w:id="9"/>
    </w:p>
    <w:p w:rsidR="00A80E31" w:rsidRPr="003B691C" w:rsidRDefault="00000000">
      <w:pPr>
        <w:spacing w:after="160"/>
        <w:jc w:val="both"/>
        <w:rPr>
          <w:color w:val="000000" w:themeColor="text1"/>
        </w:rPr>
      </w:pPr>
      <w:r w:rsidRPr="003B691C">
        <w:rPr>
          <w:b/>
          <w:bCs/>
          <w:color w:val="000000" w:themeColor="text1"/>
        </w:rPr>
        <w:t xml:space="preserve">D.1 </w:t>
      </w:r>
      <w:r w:rsidRPr="003B691C">
        <w:rPr>
          <w:color w:val="000000" w:themeColor="text1"/>
        </w:rPr>
        <w:t>The Proponent shall notify the CERT Registry in writing within 30 days of any fact that makes any statement in this Declaration untrue, inaccurate or incomplete — including any application to, registration with, or issuance by another programme or attribute scheme — and shall reconfirm this Declaration in each monitoring report (CERT-TMP-003 §1.7–1.8).</w:t>
      </w:r>
    </w:p>
    <w:p w:rsidR="00A80E31" w:rsidRPr="003B691C" w:rsidRDefault="00000000">
      <w:pPr>
        <w:spacing w:after="160"/>
        <w:jc w:val="both"/>
        <w:rPr>
          <w:color w:val="000000" w:themeColor="text1"/>
        </w:rPr>
      </w:pPr>
      <w:r w:rsidRPr="003B691C">
        <w:rPr>
          <w:b/>
          <w:bCs/>
          <w:color w:val="000000" w:themeColor="text1"/>
        </w:rPr>
        <w:t xml:space="preserve">D.2 </w:t>
      </w:r>
      <w:r w:rsidRPr="003B691C">
        <w:rPr>
          <w:color w:val="000000" w:themeColor="text1"/>
        </w:rPr>
        <w:t>The Proponent consents to CERT sharing and receiving project-identifying information (including boundaries and serial ranges) with other registries, meta-registry initiatives, and host-country authorities for the purpose of double counting prevention.</w:t>
      </w:r>
    </w:p>
    <w:p w:rsidR="00A80E31" w:rsidRPr="003B691C" w:rsidRDefault="00000000">
      <w:pPr>
        <w:pStyle w:val="Heading2"/>
        <w:rPr>
          <w:color w:val="000000" w:themeColor="text1"/>
        </w:rPr>
      </w:pPr>
      <w:bookmarkStart w:id="10" w:name="_Toc234061029"/>
      <w:r w:rsidRPr="003B691C">
        <w:rPr>
          <w:color w:val="000000" w:themeColor="text1"/>
        </w:rPr>
        <w:t>Part E – Acknowledgement and Signature</w:t>
      </w:r>
      <w:bookmarkEnd w:id="10"/>
    </w:p>
    <w:p w:rsidR="00A80E31" w:rsidRPr="003B691C" w:rsidRDefault="00000000">
      <w:pPr>
        <w:spacing w:after="160"/>
        <w:jc w:val="both"/>
        <w:rPr>
          <w:color w:val="000000" w:themeColor="text1"/>
        </w:rPr>
      </w:pPr>
      <w:r w:rsidRPr="003B691C">
        <w:rPr>
          <w:color w:val="000000" w:themeColor="text1"/>
        </w:rPr>
        <w:t>The undersigned, being duly authorised, declares that the statements above are true, accurate and complete; acknowledges that CERT, VVBs, buyers and host-country authorities will rely on this Declaration; and accepts that a false or incomplete declaration constitutes an integrity breach sanctionable under Rulebook Sections 12–13, including cancellation or replacement of affected CRUs, suspension, de-registration and publication of the sanction.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5560"/>
      </w:tblGrid>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Field</w:t>
            </w:r>
          </w:p>
        </w:tc>
        <w:tc>
          <w:tcPr>
            <w:tcW w:w="55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Entry</w:t>
            </w:r>
          </w:p>
        </w:tc>
      </w:tr>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Signatory name</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A80E31">
            <w:pPr>
              <w:rPr>
                <w:color w:val="000000" w:themeColor="text1"/>
              </w:rPr>
            </w:pPr>
          </w:p>
        </w:tc>
      </w:tr>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Title / capacity</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A80E31">
            <w:pPr>
              <w:rPr>
                <w:color w:val="000000" w:themeColor="text1"/>
              </w:rPr>
            </w:pPr>
          </w:p>
        </w:tc>
      </w:tr>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lastRenderedPageBreak/>
              <w:t>Entity</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[Project Proponent / Authorized Representative under CERT-LGL-001 dated ___]</w:t>
            </w:r>
          </w:p>
        </w:tc>
      </w:tr>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Place and date</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A80E31">
            <w:pPr>
              <w:rPr>
                <w:color w:val="000000" w:themeColor="text1"/>
              </w:rPr>
            </w:pPr>
          </w:p>
        </w:tc>
      </w:tr>
      <w:tr w:rsidR="003B691C" w:rsidRPr="003B691C">
        <w:tblPrEx>
          <w:tblCellMar>
            <w:top w:w="0" w:type="dxa"/>
            <w:bottom w:w="0" w:type="dxa"/>
          </w:tblCellMar>
        </w:tblPrEx>
        <w:tc>
          <w:tcPr>
            <w:tcW w:w="3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Signature (and seal, where customary)</w:t>
            </w:r>
          </w:p>
        </w:tc>
        <w:tc>
          <w:tcPr>
            <w:tcW w:w="5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A80E31">
            <w:pPr>
              <w:rPr>
                <w:color w:val="000000" w:themeColor="text1"/>
              </w:rPr>
            </w:pPr>
          </w:p>
        </w:tc>
      </w:tr>
    </w:tbl>
    <w:p w:rsidR="00A80E31" w:rsidRPr="003B691C" w:rsidRDefault="00000000">
      <w:pPr>
        <w:pStyle w:val="Heading2"/>
        <w:rPr>
          <w:color w:val="000000" w:themeColor="text1"/>
        </w:rPr>
      </w:pPr>
      <w:bookmarkStart w:id="11" w:name="_Toc234061030"/>
      <w:r w:rsidRPr="003B691C">
        <w:rPr>
          <w:color w:val="000000" w:themeColor="text1"/>
        </w:rPr>
        <w:t>Attachments</w:t>
      </w:r>
      <w:bookmarkEnd w:id="1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6800"/>
        <w:gridCol w:w="1860"/>
      </w:tblGrid>
      <w:tr w:rsidR="003B691C" w:rsidRPr="003B691C">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w:t>
            </w:r>
          </w:p>
        </w:tc>
        <w:tc>
          <w:tcPr>
            <w:tcW w:w="68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Attachment</w:t>
            </w:r>
          </w:p>
        </w:tc>
        <w:tc>
          <w:tcPr>
            <w:tcW w:w="18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Included</w:t>
            </w:r>
          </w:p>
        </w:tc>
      </w:tr>
      <w:tr w:rsidR="003B691C" w:rsidRPr="003B691C">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1</w:t>
            </w:r>
          </w:p>
        </w:tc>
        <w:tc>
          <w:tcPr>
            <w:tcW w:w="6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Evidence of deactivation/withdrawal from other programmes (Part A.1(b)), where applicable</w:t>
            </w: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 ]</w:t>
            </w:r>
          </w:p>
        </w:tc>
      </w:tr>
      <w:tr w:rsidR="003B691C" w:rsidRPr="003B691C">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2</w:t>
            </w:r>
          </w:p>
        </w:tc>
        <w:tc>
          <w:tcPr>
            <w:tcW w:w="6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Geospatial boundary files consistent with the registry record (land-based projects)</w:t>
            </w: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 ]</w:t>
            </w:r>
          </w:p>
        </w:tc>
      </w:tr>
      <w:tr w:rsidR="003B691C" w:rsidRPr="003B691C">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3</w:t>
            </w:r>
          </w:p>
        </w:tc>
        <w:tc>
          <w:tcPr>
            <w:tcW w:w="6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Evidence of cancellation or non-sale of other environmental attribute instruments (Part C.1(b)), where applicable</w:t>
            </w: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 ]</w:t>
            </w:r>
          </w:p>
        </w:tc>
      </w:tr>
      <w:tr w:rsidR="003B691C" w:rsidRPr="003B691C">
        <w:tblPrEx>
          <w:tblCellMar>
            <w:top w:w="0" w:type="dxa"/>
            <w:bottom w:w="0" w:type="dxa"/>
          </w:tblCellMar>
        </w:tblPrEx>
        <w:tc>
          <w:tcPr>
            <w:tcW w:w="7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4</w:t>
            </w:r>
          </w:p>
        </w:tc>
        <w:tc>
          <w:tcPr>
            <w:tcW w:w="6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Letter of Authorization reference (Part C.2(a)), where applicable</w:t>
            </w:r>
          </w:p>
        </w:tc>
        <w:tc>
          <w:tcPr>
            <w:tcW w:w="18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 ]</w:t>
            </w:r>
          </w:p>
        </w:tc>
      </w:tr>
    </w:tbl>
    <w:p w:rsidR="00A80E31" w:rsidRPr="003B691C" w:rsidRDefault="00000000">
      <w:pPr>
        <w:pStyle w:val="Heading2"/>
        <w:rPr>
          <w:color w:val="000000" w:themeColor="text1"/>
        </w:rPr>
      </w:pPr>
      <w:bookmarkStart w:id="12" w:name="_Toc234061031"/>
      <w:r w:rsidRPr="003B691C">
        <w:rPr>
          <w:color w:val="000000" w:themeColor="text1"/>
        </w:rPr>
        <w:t>For CERT Registry Use Only</w:t>
      </w:r>
      <w:bookmarkEnd w:id="1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00"/>
        <w:gridCol w:w="4760"/>
      </w:tblGrid>
      <w:tr w:rsidR="003B691C" w:rsidRPr="003B691C">
        <w:tblPrEx>
          <w:tblCellMar>
            <w:top w:w="0" w:type="dxa"/>
            <w:bottom w:w="0" w:type="dxa"/>
          </w:tblCellMar>
        </w:tblPrEx>
        <w:tc>
          <w:tcPr>
            <w:tcW w:w="4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Field</w:t>
            </w:r>
          </w:p>
        </w:tc>
        <w:tc>
          <w:tcPr>
            <w:tcW w:w="47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A80E31" w:rsidRPr="003B691C" w:rsidRDefault="00000000">
            <w:pPr>
              <w:rPr>
                <w:color w:val="000000" w:themeColor="text1"/>
              </w:rPr>
            </w:pPr>
            <w:r w:rsidRPr="003B691C">
              <w:rPr>
                <w:b/>
                <w:bCs/>
                <w:color w:val="000000" w:themeColor="text1"/>
                <w:sz w:val="20"/>
                <w:szCs w:val="20"/>
              </w:rPr>
              <w:t>Entry</w:t>
            </w:r>
          </w:p>
        </w:tc>
      </w:tr>
      <w:tr w:rsidR="003B691C" w:rsidRPr="003B691C">
        <w:tblPrEx>
          <w:tblCellMar>
            <w:top w:w="0" w:type="dxa"/>
            <w:bottom w:w="0" w:type="dxa"/>
          </w:tblCellMar>
        </w:tblPrEx>
        <w:tc>
          <w:tcPr>
            <w:tcW w:w="4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Received (date, officer)</w:t>
            </w:r>
          </w:p>
        </w:tc>
        <w:tc>
          <w:tcPr>
            <w:tcW w:w="4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A80E31">
            <w:pPr>
              <w:rPr>
                <w:color w:val="000000" w:themeColor="text1"/>
              </w:rPr>
            </w:pPr>
          </w:p>
        </w:tc>
      </w:tr>
      <w:tr w:rsidR="003B691C" w:rsidRPr="003B691C">
        <w:tblPrEx>
          <w:tblCellMar>
            <w:top w:w="0" w:type="dxa"/>
            <w:bottom w:w="0" w:type="dxa"/>
          </w:tblCellMar>
        </w:tblPrEx>
        <w:tc>
          <w:tcPr>
            <w:tcW w:w="4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Cross-programme screening result (registries checked, date)</w:t>
            </w:r>
          </w:p>
        </w:tc>
        <w:tc>
          <w:tcPr>
            <w:tcW w:w="4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A80E31">
            <w:pPr>
              <w:rPr>
                <w:color w:val="000000" w:themeColor="text1"/>
              </w:rPr>
            </w:pPr>
          </w:p>
        </w:tc>
      </w:tr>
      <w:tr w:rsidR="003B691C" w:rsidRPr="003B691C">
        <w:tblPrEx>
          <w:tblCellMar>
            <w:top w:w="0" w:type="dxa"/>
            <w:bottom w:w="0" w:type="dxa"/>
          </w:tblCellMar>
        </w:tblPrEx>
        <w:tc>
          <w:tcPr>
            <w:tcW w:w="4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Geospatial overlap screening result</w:t>
            </w:r>
          </w:p>
        </w:tc>
        <w:tc>
          <w:tcPr>
            <w:tcW w:w="4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A80E31">
            <w:pPr>
              <w:rPr>
                <w:color w:val="000000" w:themeColor="text1"/>
              </w:rPr>
            </w:pPr>
          </w:p>
        </w:tc>
      </w:tr>
      <w:tr w:rsidR="003B691C" w:rsidRPr="003B691C">
        <w:tblPrEx>
          <w:tblCellMar>
            <w:top w:w="0" w:type="dxa"/>
            <w:bottom w:w="0" w:type="dxa"/>
          </w:tblCellMar>
        </w:tblPrEx>
        <w:tc>
          <w:tcPr>
            <w:tcW w:w="4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Attribute-scheme screening result</w:t>
            </w:r>
          </w:p>
        </w:tc>
        <w:tc>
          <w:tcPr>
            <w:tcW w:w="4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A80E31">
            <w:pPr>
              <w:rPr>
                <w:color w:val="000000" w:themeColor="text1"/>
              </w:rPr>
            </w:pPr>
          </w:p>
        </w:tc>
      </w:tr>
      <w:tr w:rsidR="003B691C" w:rsidRPr="003B691C">
        <w:tblPrEx>
          <w:tblCellMar>
            <w:top w:w="0" w:type="dxa"/>
            <w:bottom w:w="0" w:type="dxa"/>
          </w:tblCellMar>
        </w:tblPrEx>
        <w:tc>
          <w:tcPr>
            <w:tcW w:w="4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000000">
            <w:pPr>
              <w:rPr>
                <w:color w:val="000000" w:themeColor="text1"/>
              </w:rPr>
            </w:pPr>
            <w:r w:rsidRPr="003B691C">
              <w:rPr>
                <w:color w:val="000000" w:themeColor="text1"/>
                <w:sz w:val="20"/>
                <w:szCs w:val="20"/>
              </w:rPr>
              <w:t>Outcome / flags raised</w:t>
            </w:r>
          </w:p>
        </w:tc>
        <w:tc>
          <w:tcPr>
            <w:tcW w:w="4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A80E31" w:rsidRPr="003B691C" w:rsidRDefault="00A80E31">
            <w:pPr>
              <w:rPr>
                <w:color w:val="000000" w:themeColor="text1"/>
              </w:rPr>
            </w:pPr>
          </w:p>
        </w:tc>
      </w:tr>
    </w:tbl>
    <w:p w:rsidR="002319FF" w:rsidRPr="003B691C" w:rsidRDefault="002319FF">
      <w:pPr>
        <w:rPr>
          <w:color w:val="000000" w:themeColor="text1"/>
        </w:rPr>
      </w:pPr>
    </w:p>
    <w:sectPr w:rsidR="002319FF" w:rsidRPr="003B691C">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9FF" w:rsidRDefault="002319FF">
      <w:r>
        <w:separator/>
      </w:r>
    </w:p>
  </w:endnote>
  <w:endnote w:type="continuationSeparator" w:id="0">
    <w:p w:rsidR="002319FF" w:rsidRDefault="0023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E31" w:rsidRDefault="00000000">
    <w:pP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3B691C">
      <w:rPr>
        <w:noProof/>
        <w:color w:val="666666"/>
        <w:sz w:val="18"/>
        <w:szCs w:val="18"/>
      </w:rPr>
      <w:t>1</w:t>
    </w:r>
    <w:r>
      <w:rPr>
        <w:color w:val="666666"/>
        <w:sz w:val="18"/>
        <w:szCs w:val="18"/>
      </w:rPr>
      <w:fldChar w:fldCharType="end"/>
    </w:r>
    <w:r>
      <w:rPr>
        <w:color w:val="666666"/>
        <w:sz w:val="18"/>
        <w:szCs w:val="18"/>
      </w:rPr>
      <w:t xml:space="preserve"> · © 2026 Certified Emissions Reduction Technologies Foundation · Draft for 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9FF" w:rsidRDefault="002319FF">
      <w:r>
        <w:separator/>
      </w:r>
    </w:p>
  </w:footnote>
  <w:footnote w:type="continuationSeparator" w:id="0">
    <w:p w:rsidR="002319FF" w:rsidRDefault="00231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E31" w:rsidRDefault="00000000">
    <w:pPr>
      <w:pBdr>
        <w:bottom w:val="single" w:sz="4" w:space="4" w:color="1F4E5F"/>
      </w:pBdr>
      <w:tabs>
        <w:tab w:val="right" w:pos="9026"/>
      </w:tabs>
    </w:pPr>
    <w:r>
      <w:rPr>
        <w:noProof/>
      </w:rPr>
      <w:drawing>
        <wp:inline distT="0" distB="0" distL="0" distR="0">
          <wp:extent cx="828675" cy="257175"/>
          <wp:effectExtent l="0" t="0" r="0" b="0"/>
          <wp:docPr id="1" name="cert-logo" descr="CERT — Certified Emissions Reduction Technologies Foundation logo" title="C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28675" cy="257175"/>
                  </a:xfrm>
                  <a:prstGeom prst="rect">
                    <a:avLst/>
                  </a:prstGeom>
                </pic:spPr>
              </pic:pic>
            </a:graphicData>
          </a:graphic>
        </wp:inline>
      </w:drawing>
    </w:r>
    <w:r>
      <w:rPr>
        <w:color w:val="666666"/>
        <w:sz w:val="18"/>
        <w:szCs w:val="18"/>
      </w:rPr>
      <w:t xml:space="preserve">   Double Accounting Avoidance Declaration</w:t>
    </w:r>
    <w:r>
      <w:rPr>
        <w:color w:val="666666"/>
        <w:sz w:val="18"/>
        <w:szCs w:val="18"/>
      </w:rPr>
      <w:tab/>
      <w:t>CERT-FRM-002 · v1.0 · 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648D"/>
    <w:multiLevelType w:val="hybridMultilevel"/>
    <w:tmpl w:val="8B107D40"/>
    <w:lvl w:ilvl="0" w:tplc="5C300FA8">
      <w:start w:val="1"/>
      <w:numFmt w:val="bullet"/>
      <w:lvlText w:val="●"/>
      <w:lvlJc w:val="left"/>
      <w:pPr>
        <w:ind w:left="720" w:hanging="360"/>
      </w:pPr>
    </w:lvl>
    <w:lvl w:ilvl="1" w:tplc="FDA6511A">
      <w:start w:val="1"/>
      <w:numFmt w:val="bullet"/>
      <w:lvlText w:val="○"/>
      <w:lvlJc w:val="left"/>
      <w:pPr>
        <w:ind w:left="1440" w:hanging="360"/>
      </w:pPr>
    </w:lvl>
    <w:lvl w:ilvl="2" w:tplc="BD88A538">
      <w:start w:val="1"/>
      <w:numFmt w:val="bullet"/>
      <w:lvlText w:val="■"/>
      <w:lvlJc w:val="left"/>
      <w:pPr>
        <w:ind w:left="2160" w:hanging="360"/>
      </w:pPr>
    </w:lvl>
    <w:lvl w:ilvl="3" w:tplc="F69C7CAC">
      <w:start w:val="1"/>
      <w:numFmt w:val="bullet"/>
      <w:lvlText w:val="●"/>
      <w:lvlJc w:val="left"/>
      <w:pPr>
        <w:ind w:left="2880" w:hanging="360"/>
      </w:pPr>
    </w:lvl>
    <w:lvl w:ilvl="4" w:tplc="34ECC888">
      <w:start w:val="1"/>
      <w:numFmt w:val="bullet"/>
      <w:lvlText w:val="○"/>
      <w:lvlJc w:val="left"/>
      <w:pPr>
        <w:ind w:left="3600" w:hanging="360"/>
      </w:pPr>
    </w:lvl>
    <w:lvl w:ilvl="5" w:tplc="8E12C4D2">
      <w:start w:val="1"/>
      <w:numFmt w:val="bullet"/>
      <w:lvlText w:val="■"/>
      <w:lvlJc w:val="left"/>
      <w:pPr>
        <w:ind w:left="4320" w:hanging="360"/>
      </w:pPr>
    </w:lvl>
    <w:lvl w:ilvl="6" w:tplc="4FB8D51E">
      <w:start w:val="1"/>
      <w:numFmt w:val="bullet"/>
      <w:lvlText w:val="●"/>
      <w:lvlJc w:val="left"/>
      <w:pPr>
        <w:ind w:left="5040" w:hanging="360"/>
      </w:pPr>
    </w:lvl>
    <w:lvl w:ilvl="7" w:tplc="9E6C3762">
      <w:start w:val="1"/>
      <w:numFmt w:val="bullet"/>
      <w:lvlText w:val="●"/>
      <w:lvlJc w:val="left"/>
      <w:pPr>
        <w:ind w:left="5760" w:hanging="360"/>
      </w:pPr>
    </w:lvl>
    <w:lvl w:ilvl="8" w:tplc="FBB4DA66">
      <w:start w:val="1"/>
      <w:numFmt w:val="bullet"/>
      <w:lvlText w:val="●"/>
      <w:lvlJc w:val="left"/>
      <w:pPr>
        <w:ind w:left="6480" w:hanging="360"/>
      </w:pPr>
    </w:lvl>
  </w:abstractNum>
  <w:abstractNum w:abstractNumId="1" w15:restartNumberingAfterBreak="0">
    <w:nsid w:val="21CB32E7"/>
    <w:multiLevelType w:val="hybridMultilevel"/>
    <w:tmpl w:val="0A967C18"/>
    <w:lvl w:ilvl="0" w:tplc="3970004A">
      <w:start w:val="1"/>
      <w:numFmt w:val="bullet"/>
      <w:lvlText w:val="•"/>
      <w:lvlJc w:val="left"/>
      <w:pPr>
        <w:ind w:left="720" w:hanging="360"/>
      </w:pPr>
    </w:lvl>
    <w:lvl w:ilvl="1" w:tplc="98C06A7E">
      <w:numFmt w:val="decimal"/>
      <w:lvlText w:val=""/>
      <w:lvlJc w:val="left"/>
    </w:lvl>
    <w:lvl w:ilvl="2" w:tplc="EAE29B56">
      <w:numFmt w:val="decimal"/>
      <w:lvlText w:val=""/>
      <w:lvlJc w:val="left"/>
    </w:lvl>
    <w:lvl w:ilvl="3" w:tplc="AD30BD72">
      <w:numFmt w:val="decimal"/>
      <w:lvlText w:val=""/>
      <w:lvlJc w:val="left"/>
    </w:lvl>
    <w:lvl w:ilvl="4" w:tplc="478AF4D0">
      <w:numFmt w:val="decimal"/>
      <w:lvlText w:val=""/>
      <w:lvlJc w:val="left"/>
    </w:lvl>
    <w:lvl w:ilvl="5" w:tplc="70B65B6E">
      <w:numFmt w:val="decimal"/>
      <w:lvlText w:val=""/>
      <w:lvlJc w:val="left"/>
    </w:lvl>
    <w:lvl w:ilvl="6" w:tplc="1E228742">
      <w:numFmt w:val="decimal"/>
      <w:lvlText w:val=""/>
      <w:lvlJc w:val="left"/>
    </w:lvl>
    <w:lvl w:ilvl="7" w:tplc="8C18F550">
      <w:numFmt w:val="decimal"/>
      <w:lvlText w:val=""/>
      <w:lvlJc w:val="left"/>
    </w:lvl>
    <w:lvl w:ilvl="8" w:tplc="879E1E14">
      <w:numFmt w:val="decimal"/>
      <w:lvlText w:val=""/>
      <w:lvlJc w:val="left"/>
    </w:lvl>
  </w:abstractNum>
  <w:num w:numId="1" w16cid:durableId="19588279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31"/>
    <w:rsid w:val="002319FF"/>
    <w:rsid w:val="002E2127"/>
    <w:rsid w:val="003B691C"/>
    <w:rsid w:val="00A80E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05EACF3"/>
  <w15:docId w15:val="{828B81FC-A959-4B4A-8C24-2E2F6563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40"/>
      <w:outlineLvl w:val="0"/>
    </w:pPr>
    <w:rPr>
      <w:b/>
      <w:bCs/>
      <w:color w:val="1F4E5F"/>
      <w:sz w:val="32"/>
      <w:szCs w:val="32"/>
    </w:rPr>
  </w:style>
  <w:style w:type="paragraph" w:styleId="Heading2">
    <w:name w:val="heading 2"/>
    <w:uiPriority w:val="9"/>
    <w:unhideWhenUsed/>
    <w:qFormat/>
    <w:pPr>
      <w:spacing w:before="240" w:after="160"/>
      <w:outlineLvl w:val="1"/>
    </w:pPr>
    <w:rPr>
      <w:b/>
      <w:bCs/>
      <w:color w:val="2E6E7E"/>
      <w:sz w:val="26"/>
      <w:szCs w:val="26"/>
    </w:rPr>
  </w:style>
  <w:style w:type="paragraph" w:styleId="Heading3">
    <w:name w:val="heading 3"/>
    <w:uiPriority w:val="9"/>
    <w:semiHidden/>
    <w:unhideWhenUsed/>
    <w:qFormat/>
    <w:pPr>
      <w:spacing w:before="200" w:after="120"/>
      <w:outlineLvl w:val="2"/>
    </w:pPr>
    <w:rPr>
      <w:b/>
      <w:bCs/>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2">
    <w:name w:val="toc 2"/>
    <w:basedOn w:val="Normal"/>
    <w:next w:val="Normal"/>
    <w:autoRedefine/>
    <w:uiPriority w:val="39"/>
    <w:unhideWhenUsed/>
    <w:rsid w:val="003B691C"/>
    <w:pPr>
      <w:spacing w:after="100"/>
      <w:ind w:left="220"/>
    </w:pPr>
  </w:style>
  <w:style w:type="paragraph" w:styleId="TOC1">
    <w:name w:val="toc 1"/>
    <w:basedOn w:val="Normal"/>
    <w:next w:val="Normal"/>
    <w:autoRedefine/>
    <w:uiPriority w:val="39"/>
    <w:unhideWhenUsed/>
    <w:rsid w:val="003B69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Shailendra Singh Rao</cp:lastModifiedBy>
  <cp:revision>2</cp:revision>
  <dcterms:created xsi:type="dcterms:W3CDTF">2026-07-04T05:03:00Z</dcterms:created>
  <dcterms:modified xsi:type="dcterms:W3CDTF">2026-07-04T07:08:00Z</dcterms:modified>
</cp:coreProperties>
</file>