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b/>
          <w:bCs/>
          <w:color w:val="1F4E5F"/>
          <w:sz w:val="72"/>
          <w:szCs w:val="72"/>
        </w:rPr>
        <w:t xml:space="preserve">CERT</w:t>
      </w:r>
    </w:p>
    <w:p>
      <w:pPr>
        <w:spacing w:after="400"/>
        <w:jc w:val="center"/>
      </w:pPr>
      <w:r>
        <w:rPr>
          <w:color w:val="1F4E5F"/>
          <w:sz w:val="32"/>
          <w:szCs w:val="32"/>
        </w:rPr>
        <w:t xml:space="preserve">Certified Emissions Reduction Technologies Foundation</w:t>
      </w:r>
    </w:p>
    <w:p>
      <w:pPr>
        <w:spacing w:before="1200"/>
        <w:jc w:val="center"/>
      </w:pPr>
      <w:r>
        <w:rPr>
          <w:b/>
          <w:bCs/>
          <w:sz w:val="44"/>
          <w:szCs w:val="44"/>
        </w:rPr>
        <w:t xml:space="preserve">JOINT PROJECT DESCRIPTION AND MONITORING REPORT TEMPLATE</w:t>
      </w:r>
    </w:p>
    <w:p>
      <w:pPr>
        <w:spacing w:after="1600"/>
        <w:jc w:val="center"/>
      </w:pPr>
      <w:r>
        <w:rPr>
          <w:i/>
          <w:iCs/>
          <w:sz w:val="26"/>
          <w:szCs w:val="26"/>
        </w:rPr>
        <w:t xml:space="preserve">Combined Template for Registration with First Verification in the CERT Registry</w:t>
      </w:r>
    </w:p>
    <w:p>
      <w:pPr>
        <w:jc w:val="center"/>
      </w:pPr>
      <w:r>
        <w:rPr>
          <w:sz w:val="22"/>
          <w:szCs w:val="22"/>
        </w:rPr>
        <w:t xml:space="preserve">Document ID: CERT-TMP-002</w:t>
      </w:r>
    </w:p>
    <w:p>
      <w:pPr>
        <w:jc w:val="center"/>
      </w:pPr>
      <w:r>
        <w:rPr>
          <w:sz w:val="22"/>
          <w:szCs w:val="22"/>
        </w:rPr>
        <w:t xml:space="preserve">Version 1.0 (Draft for Consultation)</w:t>
      </w:r>
    </w:p>
    <w:p>
      <w:pPr>
        <w:jc w:val="center"/>
      </w:pPr>
      <w:r>
        <w:rPr>
          <w:sz w:val="22"/>
          <w:szCs w:val="22"/>
        </w:rPr>
        <w:t xml:space="preserve">Date: 2 July 2026</w:t>
      </w:r>
    </w:p>
    <w:p>
      <w:pPr>
        <w:jc w:val="center"/>
      </w:pPr>
      <w:r>
        <w:rPr>
          <w:sz w:val="22"/>
          <w:szCs w:val="22"/>
        </w:rPr>
        <w:t xml:space="preserve">Classification: Public</w:t>
      </w:r>
    </w:p>
    <w:p>
      <w:r>
        <w:br w:type="page"/>
      </w:r>
    </w:p>
    <w:p>
      <w:pPr>
        <w:pStyle w:val="Heading2"/>
      </w:pPr>
      <w: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Detail</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Document ID</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CERT-TMP-002</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Title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Joint Project Description and Monitoring Report Template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Version</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 (Draft for Consultation)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Status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Draft – pending Board adoption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Owner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Secretariat (Registry Operations)</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Approver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Standards Committee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Review cycle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Upon each material Rulebook or methodology-framework change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Related documents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CERT-REG-001 Registry Rulebook; applied CERT methodology (CERT-MTH series); CERT-TMP-001</w:t>
            </w:r>
          </w:p>
        </w:tc>
      </w:tr>
    </w:tbl>
    <w:p>
      <w:pPr>
        <w:spacing w:before="240"/>
      </w:pPr>
    </w:p>
    <w:p>
      <w:pPr>
        <w:pStyle w:val="Heading2"/>
      </w:pPr>
      <w: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600"/>
        <w:gridCol w:w="3960"/>
      </w:tblGrid>
      <w:tr>
        <w:tc>
          <w:tcPr>
            <w:tcW w:type="dxa" w:w="1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Version</w:t>
            </w:r>
          </w:p>
        </w:tc>
        <w:tc>
          <w:tcPr>
            <w:tcW w:type="dxa" w:w="1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Author</w:t>
            </w:r>
          </w:p>
        </w:tc>
        <w:tc>
          <w:tcPr>
            <w:tcW w:type="dxa" w:w="3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Description</w:t>
            </w:r>
          </w:p>
        </w:tc>
      </w:tr>
      <w:tr>
        <w:tc>
          <w:tcPr>
            <w:tcW w:type="dxa" w:w="1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w:t>
            </w:r>
          </w:p>
        </w:tc>
        <w:tc>
          <w:tcPr>
            <w:tcW w:type="dxa" w:w="1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2026-07-02</w:t>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Founding Secretariat</w:t>
            </w:r>
          </w:p>
        </w:tc>
        <w:tc>
          <w:tcPr>
            <w:tcW w:type="dxa" w:w="3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Initial draft for founding Board review.</w:t>
            </w:r>
          </w:p>
        </w:tc>
      </w:tr>
    </w:tbl>
    <w:p>
      <w:r>
        <w:br w:type="page"/>
      </w:r>
    </w:p>
    <w:p>
      <w:pPr>
        <w:pStyle w:val="Heading2"/>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Instructions for Completing This Template</w:t>
      </w:r>
    </w:p>
    <w:p>
      <w:pPr>
        <w:spacing w:after="140"/>
        <w:jc w:val="both"/>
      </w:pPr>
      <w:r>
        <w:rPr>
          <w:i/>
          <w:iCs/>
          <w:color w:val="7F7F7F"/>
          <w:sz w:val="20"/>
          <w:szCs w:val="20"/>
        </w:rPr>
        <w:t xml:space="preserve">This template is issued under the CERT Registry Rulebook (CERT-REG-001). Instructions and guidance are formatted in gray italics and must be deleted from the final document. If a section is not applicable, retain the heading and justify why it is not applicable; do not simply write "not applicable" and do not delete the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Item</w:t>
            </w:r>
          </w:p>
        </w:tc>
        <w:tc>
          <w:tcPr>
            <w:tcW w:type="dxa" w:w="6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Requirement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name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CERT_PDMR_[ProjectID]_[DDMMMYYYY]_vX.Y</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type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Non-editable PDF for submission; editable copy retained by the proponent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Language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English (supporting evidence may be in original language with summary translation)</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Rules reference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Registry Rulebook (CERT-REG-001) and the applied CERT methodology; this template does not replace the rules</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Instruction terms</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 facts only; "Describe" = narrative; "Explain" = reasoning; "Justify" = evidence-based demonstration an auditor can assess; "Attach" = appendix or separate document; "Select" = choose option</w:t>
            </w:r>
          </w:p>
        </w:tc>
      </w:tr>
    </w:tbl>
    <w:p>
      <w:pPr>
        <w:spacing w:after="140"/>
        <w:jc w:val="both"/>
      </w:pPr>
      <w:r>
        <w:rPr>
          <w:i/>
          <w:iCs/>
          <w:color w:val="7F7F7F"/>
          <w:sz w:val="20"/>
          <w:szCs w:val="20"/>
        </w:rPr>
        <w:t xml:space="preserve">New template versions are issued when the underlying CERT rules change. Confirm you are using the current version in the CERT Document Library before submission. Joint project description and monitoring report submissions prepared on superseded template versions may be returned.</w:t>
      </w:r>
    </w:p>
    <w:p>
      <w:pPr>
        <w:pStyle w:val="Heading2"/>
      </w:pPr>
      <w:r>
        <w:t xml:space="preserve">Project and Monitoring Summary Table</w:t>
      </w:r>
    </w:p>
    <w:p>
      <w:pPr>
        <w:spacing w:after="140"/>
        <w:jc w:val="both"/>
      </w:pPr>
      <w:r>
        <w:rPr>
          <w:i/>
          <w:iCs/>
          <w:color w:val="7F7F7F"/>
          <w:sz w:val="20"/>
          <w:szCs w:val="20"/>
        </w:rPr>
        <w:t xml:space="preserve">Fill out the table. This joint template is used where the applied methodology and the Rulebook permit combined validation and first verification.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5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name</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Project ID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[Assigned by the CERT Registry at listing]</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proponent</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Applied methodology (ID,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family</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[Nature-based / Non-nature-based]</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Host country</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Crediting period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[DD-MMM-YYYY to DD-MMM-YYYY]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period covered by this report</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[DD-MMM-YYYY to DD-MMM-YYYY]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CRUs claimed for this monitoring period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Article 6 authorisation status</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[Authorised ITMO / Not authorised / Pending]</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Prepared by / date / template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1. Project Details</w:t>
      </w:r>
    </w:p>
    <w:p>
      <w:pPr>
        <w:pStyle w:val="Heading2"/>
      </w:pPr>
      <w:r>
        <w:t xml:space="preserve">1.1 Summary Description of the Project</w:t>
      </w:r>
    </w:p>
    <w:p>
      <w:pPr>
        <w:spacing w:after="140"/>
        <w:jc w:val="both"/>
      </w:pPr>
      <w:r>
        <w:rPr>
          <w:i/>
          <w:iCs/>
          <w:color w:val="7F7F7F"/>
          <w:sz w:val="20"/>
          <w:szCs w:val="20"/>
        </w:rPr>
        <w:t xml:space="preserve">Provide a summary (maximum one page) of the project: the technologies/measures implemented, location, how the project reduces or removes GHG emissions, the estimated annual average of emission reductions/removals in CRUs, and the total for the crediting period.</w:t>
      </w:r>
    </w:p>
    <w:p>
      <w:pPr>
        <w:spacing w:after="200"/>
      </w:pPr>
      <w:r>
        <w:rPr>
          <w:color w:val="2E6E7E"/>
          <w:sz w:val="22"/>
          <w:szCs w:val="22"/>
        </w:rPr>
        <w:t xml:space="preserve">[Response]</w:t>
      </w:r>
    </w:p>
    <w:p>
      <w:pPr>
        <w:pStyle w:val="Heading2"/>
      </w:pPr>
      <w:r>
        <w:t xml:space="preserve">1.2 Review History</w:t>
      </w:r>
    </w:p>
    <w:p>
      <w:pPr>
        <w:spacing w:after="140"/>
        <w:jc w:val="both"/>
      </w:pPr>
      <w:r>
        <w:rPr>
          <w:i/>
          <w:iCs/>
          <w:color w:val="7F7F7F"/>
          <w:sz w:val="20"/>
          <w:szCs w:val="20"/>
        </w:rPr>
        <w:t xml:space="preserve">Fill out the table for all prior CERT reviews, validation or verification engagements relating to this project, including returned requests and their resolution. For first submissions, state "First submission".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2300"/>
        <w:gridCol w:w="2200"/>
        <w:gridCol w:w="2560"/>
      </w:tblGrid>
      <w:tr>
        <w:tc>
          <w:tcPr>
            <w:tcW w:type="dxa" w:w="2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Engagement</w:t>
            </w:r>
          </w:p>
        </w:tc>
        <w:tc>
          <w:tcPr>
            <w:tcW w:type="dxa" w:w="2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Body</w:t>
            </w:r>
          </w:p>
        </w:tc>
        <w:tc>
          <w:tcPr>
            <w:tcW w:type="dxa" w:w="2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Period/Date</w:t>
            </w:r>
          </w:p>
        </w:tc>
        <w:tc>
          <w:tcPr>
            <w:tcW w:type="dxa" w:w="2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Outcome / open findings</w:t>
            </w:r>
          </w:p>
        </w:tc>
      </w:tr>
      <w:tr>
        <w:tc>
          <w:tcPr>
            <w:tcW w:type="dxa" w:w="2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[e.g., Validation]</w:t>
            </w:r>
          </w:p>
        </w:tc>
        <w:tc>
          <w:tcPr>
            <w:tcW w:type="dxa" w:w="2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[VVB name]</w:t>
            </w:r>
          </w:p>
        </w:tc>
        <w:tc>
          <w:tcPr>
            <w:tcW w:type="dxa" w:w="2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[dates]</w:t>
            </w:r>
          </w:p>
        </w:tc>
        <w:tc>
          <w:tcPr>
            <w:tcW w:type="dxa" w:w="2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[outcome]</w:t>
            </w:r>
          </w:p>
        </w:tc>
      </w:tr>
    </w:tbl>
    <w:p>
      <w:pPr>
        <w:pStyle w:val="Heading2"/>
      </w:pPr>
      <w:r>
        <w:t xml:space="preserve">1.3 Sectoral Scope and Project Classification</w:t>
      </w:r>
    </w:p>
    <w:p>
      <w:pPr>
        <w:spacing w:after="140"/>
        <w:jc w:val="both"/>
      </w:pPr>
      <w:r>
        <w:rPr>
          <w:i/>
          <w:iCs/>
          <w:color w:val="7F7F7F"/>
          <w:sz w:val="20"/>
          <w:szCs w:val="20"/>
        </w:rPr>
        <w:t xml:space="preserve">State the CERT sectoral scope, the applied methodology ID, the activity type (reduction / removal / mixed), and the project family: nature-based or non-nature-based. The project family determines permanence treatment under Rulebook Section 10 (Buffer Pool applies to nature-based projects only; non-nature-based storage projects carry proponent replacement obligations).</w:t>
      </w:r>
    </w:p>
    <w:p>
      <w:pPr>
        <w:spacing w:after="200"/>
      </w:pPr>
      <w:r>
        <w:rPr>
          <w:color w:val="2E6E7E"/>
          <w:sz w:val="22"/>
          <w:szCs w:val="22"/>
        </w:rPr>
        <w:t xml:space="preserve">[Response]</w:t>
      </w:r>
    </w:p>
    <w:p>
      <w:pPr>
        <w:pStyle w:val="Heading2"/>
      </w:pPr>
      <w:r>
        <w:t xml:space="preserve">1.4 Project Eligibility</w:t>
      </w:r>
    </w:p>
    <w:p>
      <w:pPr>
        <w:spacing w:after="140"/>
        <w:jc w:val="both"/>
      </w:pPr>
      <w:r>
        <w:rPr>
          <w:i/>
          <w:iCs/>
          <w:color w:val="7F7F7F"/>
          <w:sz w:val="20"/>
          <w:szCs w:val="20"/>
        </w:rPr>
        <w:t xml:space="preserve">Justify eligibility against Rulebook Section 4: applied CERT methodology and applicability conditions; host-country legal compliance; uncontested land/resource rights; excluded-activity screening (Rulebook 4.3); and the regulatory surplus declaration — confirm the activity is not mandated by any enforced law or regulation (Rulebook 5.2A). Note: regulatory surplus is an eligibility condition at CERT; it is not part of the additionality demonstration in Section 3.5.</w:t>
      </w:r>
    </w:p>
    <w:p>
      <w:pPr>
        <w:spacing w:after="200"/>
      </w:pPr>
      <w:r>
        <w:rPr>
          <w:color w:val="2E6E7E"/>
          <w:sz w:val="22"/>
          <w:szCs w:val="22"/>
        </w:rPr>
        <w:t xml:space="preserve">[Response]</w:t>
      </w:r>
    </w:p>
    <w:p>
      <w:pPr>
        <w:pStyle w:val="Heading2"/>
      </w:pPr>
      <w:r>
        <w:t xml:space="preserve">1.5 Project Proponent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1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Organization name</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Registered address</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Contact person, title</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Email / telephone</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account number</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1.6 Other Entities Involved in the Project</w:t>
      </w:r>
    </w:p>
    <w:p>
      <w:pPr>
        <w:spacing w:after="140"/>
        <w:jc w:val="both"/>
      </w:pPr>
      <w:r>
        <w:rPr>
          <w:i/>
          <w:iCs/>
          <w:color w:val="7F7F7F"/>
          <w:sz w:val="20"/>
          <w:szCs w:val="20"/>
        </w:rPr>
        <w:t xml:space="preserve">Fill out for each entity (implementation partner, technology provider, aggregator, adviser): name, role, and relationship to the proponent. Disclose any entity that is a related party of the proponent.</w:t>
      </w:r>
    </w:p>
    <w:p>
      <w:pPr>
        <w:spacing w:after="200"/>
      </w:pPr>
      <w:r>
        <w:rPr>
          <w:color w:val="2E6E7E"/>
          <w:sz w:val="22"/>
          <w:szCs w:val="22"/>
        </w:rPr>
        <w:t xml:space="preserve">[Response]</w:t>
      </w:r>
    </w:p>
    <w:p>
      <w:pPr>
        <w:pStyle w:val="Heading2"/>
      </w:pPr>
      <w:r>
        <w:t xml:space="preserve">1.7 Ownership</w:t>
      </w:r>
    </w:p>
    <w:p>
      <w:pPr>
        <w:spacing w:after="140"/>
        <w:jc w:val="both"/>
      </w:pPr>
      <w:r>
        <w:rPr>
          <w:i/>
          <w:iCs/>
          <w:color w:val="7F7F7F"/>
          <w:sz w:val="20"/>
          <w:szCs w:val="20"/>
        </w:rPr>
        <w:t xml:space="preserve">Justify the proponent’s right to claim the emission reductions or removals: legal ownership of the project activity, contractual assignments of carbon rights, and, for land-based projects, evidence of land tenure or carbon rights recognised under host-country law. Attach evidence.</w:t>
      </w:r>
    </w:p>
    <w:p>
      <w:pPr>
        <w:spacing w:after="200"/>
      </w:pPr>
      <w:r>
        <w:rPr>
          <w:color w:val="2E6E7E"/>
          <w:sz w:val="22"/>
          <w:szCs w:val="22"/>
        </w:rPr>
        <w:t xml:space="preserve">[Response]</w:t>
      </w:r>
    </w:p>
    <w:p>
      <w:pPr>
        <w:pStyle w:val="Heading2"/>
      </w:pPr>
      <w:r>
        <w:t xml:space="preserve">1.8 Project Start Date</w:t>
      </w:r>
    </w:p>
    <w:p>
      <w:pPr>
        <w:spacing w:after="140"/>
        <w:jc w:val="both"/>
      </w:pPr>
      <w:r>
        <w:rPr>
          <w:i/>
          <w:iCs/>
          <w:color w:val="7F7F7F"/>
          <w:sz w:val="20"/>
          <w:szCs w:val="20"/>
        </w:rPr>
        <w:t xml:space="preserve">State the project start date (the date the activity began reducing or removing emissions, or the implementation decision date if earlier, per the methodology) and justify with evidence. State conformance with any temporal eligibility limits (project cutoff date, retrospective issuance cutoff date) specified by the applied methodology.</w:t>
      </w:r>
    </w:p>
    <w:p>
      <w:pPr>
        <w:spacing w:after="200"/>
      </w:pPr>
      <w:r>
        <w:rPr>
          <w:color w:val="2E6E7E"/>
          <w:sz w:val="22"/>
          <w:szCs w:val="22"/>
        </w:rPr>
        <w:t xml:space="preserve">[Response]</w:t>
      </w:r>
    </w:p>
    <w:p>
      <w:pPr>
        <w:pStyle w:val="Heading2"/>
      </w:pPr>
      <w:r>
        <w:t xml:space="preserve">1.9 Project Crediting Period</w:t>
      </w:r>
    </w:p>
    <w:p>
      <w:pPr>
        <w:spacing w:after="140"/>
        <w:jc w:val="both"/>
      </w:pPr>
      <w:r>
        <w:rPr>
          <w:i/>
          <w:iCs/>
          <w:color w:val="7F7F7F"/>
          <w:sz w:val="20"/>
          <w:szCs w:val="20"/>
        </w:rPr>
        <w:t xml:space="preserve">State the crediting period start and end dates. Standard crediting periods are five years, renewable twice (maximum fifteen), except as the applied methodology provides for long-duration removals (Rulebook 3.1).</w:t>
      </w:r>
    </w:p>
    <w:p>
      <w:pPr>
        <w:spacing w:after="200"/>
      </w:pPr>
      <w:r>
        <w:rPr>
          <w:color w:val="2E6E7E"/>
          <w:sz w:val="22"/>
          <w:szCs w:val="22"/>
        </w:rPr>
        <w:t xml:space="preserve">[Response]</w:t>
      </w:r>
    </w:p>
    <w:p>
      <w:pPr>
        <w:pStyle w:val="Heading2"/>
      </w:pPr>
      <w:r>
        <w:t xml:space="preserve">1.10 Project Scale</w:t>
      </w:r>
    </w:p>
    <w:p>
      <w:pPr>
        <w:spacing w:after="140"/>
        <w:jc w:val="both"/>
      </w:pPr>
      <w:r>
        <w:rPr>
          <w:i/>
          <w:iCs/>
          <w:color w:val="7F7F7F"/>
          <w:sz w:val="20"/>
          <w:szCs w:val="20"/>
        </w:rPr>
        <w:t xml:space="preserve">State estimated average annual CRUs and select the scale class defined in the applied methodology and fee schedule.</w:t>
      </w:r>
    </w:p>
    <w:p>
      <w:pPr>
        <w:spacing w:after="200"/>
      </w:pPr>
      <w:r>
        <w:rPr>
          <w:color w:val="2E6E7E"/>
          <w:sz w:val="22"/>
          <w:szCs w:val="22"/>
        </w:rPr>
        <w:t xml:space="preserve">[Response]</w:t>
      </w:r>
    </w:p>
    <w:p>
      <w:pPr>
        <w:pStyle w:val="Heading2"/>
      </w:pPr>
      <w:r>
        <w:t xml:space="preserve">1.11 Project Design</w:t>
      </w:r>
    </w:p>
    <w:p>
      <w:pPr>
        <w:spacing w:after="140"/>
        <w:jc w:val="both"/>
      </w:pPr>
      <w:r>
        <w:rPr>
          <w:i/>
          <w:iCs/>
          <w:color w:val="7F7F7F"/>
          <w:sz w:val="20"/>
          <w:szCs w:val="20"/>
        </w:rPr>
        <w:t xml:space="preserve">Describe the design: single location or multiple instances; if grouped, the eligibility criteria for adding instances; equipment/technology specifications; and expected operational lifetime.</w:t>
      </w:r>
    </w:p>
    <w:p>
      <w:pPr>
        <w:spacing w:after="200"/>
      </w:pPr>
      <w:r>
        <w:rPr>
          <w:color w:val="2E6E7E"/>
          <w:sz w:val="22"/>
          <w:szCs w:val="22"/>
        </w:rPr>
        <w:t xml:space="preserve">[Response]</w:t>
      </w:r>
    </w:p>
    <w:p>
      <w:pPr>
        <w:pStyle w:val="Heading2"/>
      </w:pPr>
      <w:r>
        <w:t xml:space="preserve">1.12 Conditions Prior to Project Initiation</w:t>
      </w:r>
    </w:p>
    <w:p>
      <w:pPr>
        <w:spacing w:after="140"/>
        <w:jc w:val="both"/>
      </w:pPr>
      <w:r>
        <w:rPr>
          <w:i/>
          <w:iCs/>
          <w:color w:val="7F7F7F"/>
          <w:sz w:val="20"/>
          <w:szCs w:val="20"/>
        </w:rPr>
        <w:t xml:space="preserve">Describe the pre-project conditions, including existing land use, technologies, or practices. Where the baseline scenario is a continuation of pre-project conditions, ensure consistency with Section 3.4.</w:t>
      </w:r>
    </w:p>
    <w:p>
      <w:pPr>
        <w:spacing w:after="200"/>
      </w:pPr>
      <w:r>
        <w:rPr>
          <w:color w:val="2E6E7E"/>
          <w:sz w:val="22"/>
          <w:szCs w:val="22"/>
        </w:rPr>
        <w:t xml:space="preserve">[Response]</w:t>
      </w:r>
    </w:p>
    <w:p>
      <w:pPr>
        <w:pStyle w:val="Heading2"/>
      </w:pPr>
      <w:r>
        <w:t xml:space="preserve">1.13 Description of the Project Activity</w:t>
      </w:r>
    </w:p>
    <w:p>
      <w:pPr>
        <w:spacing w:after="140"/>
        <w:jc w:val="both"/>
      </w:pPr>
      <w:r>
        <w:rPr>
          <w:i/>
          <w:iCs/>
          <w:color w:val="7F7F7F"/>
          <w:sz w:val="20"/>
          <w:szCs w:val="20"/>
        </w:rPr>
        <w:t xml:space="preserve">Describe in technical detail how the activity reduces or removes GHG emissions, including process flows, mass/energy balances where relevant, and how the technology differs from the baseline.</w:t>
      </w:r>
    </w:p>
    <w:p>
      <w:pPr>
        <w:spacing w:after="200"/>
      </w:pPr>
      <w:r>
        <w:rPr>
          <w:color w:val="2E6E7E"/>
          <w:sz w:val="22"/>
          <w:szCs w:val="22"/>
        </w:rPr>
        <w:t xml:space="preserve">[Response]</w:t>
      </w:r>
    </w:p>
    <w:p>
      <w:pPr>
        <w:pStyle w:val="Heading2"/>
      </w:pPr>
      <w:r>
        <w:t xml:space="preserve">1.14 Project Location</w:t>
      </w:r>
    </w:p>
    <w:p>
      <w:pPr>
        <w:spacing w:after="140"/>
        <w:jc w:val="both"/>
      </w:pPr>
      <w:r>
        <w:rPr>
          <w:i/>
          <w:iCs/>
          <w:color w:val="7F7F7F"/>
          <w:sz w:val="20"/>
          <w:szCs w:val="20"/>
        </w:rPr>
        <w:t xml:space="preserve">State the geographic coordinates (and attach geospatial boundary files in the format required by the CERT Registry — GeoJSON or KML) sufficient for remote-sensing review and cross-programme overlap checks under Rulebook 11.1.</w:t>
      </w:r>
    </w:p>
    <w:p>
      <w:pPr>
        <w:spacing w:after="200"/>
      </w:pPr>
      <w:r>
        <w:rPr>
          <w:color w:val="2E6E7E"/>
          <w:sz w:val="22"/>
          <w:szCs w:val="22"/>
        </w:rPr>
        <w:t xml:space="preserve">[Response]</w:t>
      </w:r>
    </w:p>
    <w:p>
      <w:pPr>
        <w:pStyle w:val="Heading2"/>
      </w:pPr>
      <w:r>
        <w:t xml:space="preserve">1.15 Compliance with Laws and Other Regulatory Frameworks</w:t>
      </w:r>
    </w:p>
    <w:p>
      <w:pPr>
        <w:spacing w:after="140"/>
        <w:jc w:val="both"/>
      </w:pPr>
      <w:r>
        <w:rPr>
          <w:i/>
          <w:iCs/>
          <w:color w:val="7F7F7F"/>
          <w:sz w:val="20"/>
          <w:szCs w:val="20"/>
        </w:rPr>
        <w:t xml:space="preserve">Describe applicable legal requirements (environmental, construction, labour, permitting) and demonstrate compliance. Disclose any material non-compliance in the last five years and its remediation.</w:t>
      </w:r>
    </w:p>
    <w:p>
      <w:pPr>
        <w:spacing w:after="200"/>
      </w:pPr>
      <w:r>
        <w:rPr>
          <w:color w:val="2E6E7E"/>
          <w:sz w:val="22"/>
          <w:szCs w:val="22"/>
        </w:rPr>
        <w:t xml:space="preserve">[Response]</w:t>
      </w:r>
    </w:p>
    <w:p>
      <w:pPr>
        <w:pStyle w:val="Heading2"/>
      </w:pPr>
      <w:r>
        <w:t xml:space="preserve">1.16 Double Counting and Participation with Other GHG Programmes</w:t>
      </w:r>
    </w:p>
    <w:p>
      <w:pPr>
        <w:spacing w:after="140"/>
        <w:jc w:val="both"/>
      </w:pPr>
      <w:r>
        <w:rPr>
          <w:i/>
          <w:iCs/>
          <w:color w:val="7F7F7F"/>
          <w:sz w:val="20"/>
          <w:szCs w:val="20"/>
        </w:rPr>
        <w:t xml:space="preserve">State whether the project is or has been registered, or is seeking registration, under any other GHG programme. If yes, attach evidence that crediting under the other programme is deactivated or that no double issuance can occur (Rulebook 11.1). Complete the geospatial declaration for land-based projects.</w:t>
      </w:r>
    </w:p>
    <w:p>
      <w:pPr>
        <w:spacing w:after="200"/>
      </w:pPr>
      <w:r>
        <w:rPr>
          <w:color w:val="2E6E7E"/>
          <w:sz w:val="22"/>
          <w:szCs w:val="22"/>
        </w:rPr>
        <w:t xml:space="preserve">[Response]</w:t>
      </w:r>
    </w:p>
    <w:p>
      <w:pPr>
        <w:pStyle w:val="Heading2"/>
      </w:pPr>
      <w:r>
        <w:t xml:space="preserve">1.17 Double Claiming, Article 6 and Other Forms of Credit</w:t>
      </w:r>
    </w:p>
    <w:p>
      <w:pPr>
        <w:spacing w:after="140"/>
        <w:jc w:val="both"/>
      </w:pPr>
      <w:r>
        <w:rPr>
          <w:i/>
          <w:iCs/>
          <w:color w:val="7F7F7F"/>
          <w:sz w:val="20"/>
          <w:szCs w:val="20"/>
        </w:rPr>
        <w:t xml:space="preserve">State whether the emission reductions/removals are, or will be, claimed under any other environmental instrument (renewable energy certificates, fuel standards, national accounting). State the intended Article 6 authorisation status of the CRUs; where authorisation is sought, attach the Letter of Authorization details for recording under Rulebook Section 8.</w:t>
      </w:r>
    </w:p>
    <w:p>
      <w:pPr>
        <w:spacing w:after="200"/>
      </w:pPr>
      <w:r>
        <w:rPr>
          <w:color w:val="2E6E7E"/>
          <w:sz w:val="22"/>
          <w:szCs w:val="22"/>
        </w:rPr>
        <w:t xml:space="preserve">[Response]</w:t>
      </w:r>
    </w:p>
    <w:p>
      <w:pPr>
        <w:pStyle w:val="Heading2"/>
      </w:pPr>
      <w:r>
        <w:t xml:space="preserve">1.18 Sustainable Development Contributions</w:t>
      </w:r>
    </w:p>
    <w:p>
      <w:pPr>
        <w:spacing w:after="140"/>
        <w:jc w:val="both"/>
      </w:pPr>
      <w:r>
        <w:rPr>
          <w:i/>
          <w:iCs/>
          <w:color w:val="7F7F7F"/>
          <w:sz w:val="20"/>
          <w:szCs w:val="20"/>
        </w:rPr>
        <w:t xml:space="preserve">Describe the project’s contributions to sustainable development, mapped to the relevant SDGs, and how they will be reported in monitoring reports (Rulebook 4.4).</w:t>
      </w:r>
    </w:p>
    <w:p>
      <w:pPr>
        <w:spacing w:after="200"/>
      </w:pPr>
      <w:r>
        <w:rPr>
          <w:color w:val="2E6E7E"/>
          <w:sz w:val="22"/>
          <w:szCs w:val="22"/>
        </w:rPr>
        <w:t xml:space="preserve">[Response]</w:t>
      </w:r>
    </w:p>
    <w:p>
      <w:pPr>
        <w:pStyle w:val="Heading2"/>
      </w:pPr>
      <w:r>
        <w:t xml:space="preserve">1.19 Additional Information</w:t>
      </w:r>
    </w:p>
    <w:p>
      <w:pPr>
        <w:spacing w:after="140"/>
        <w:jc w:val="both"/>
      </w:pPr>
      <w:r>
        <w:rPr>
          <w:i/>
          <w:iCs/>
          <w:color w:val="7F7F7F"/>
          <w:sz w:val="20"/>
          <w:szCs w:val="20"/>
        </w:rPr>
        <w:t xml:space="preserve">Include any further information relevant to eligibility, quantification, or integrity. Commercially sensitive material may be placed in Appendix 1 with justification.</w:t>
      </w:r>
    </w:p>
    <w:p>
      <w:pPr>
        <w:spacing w:after="200"/>
      </w:pPr>
      <w:r>
        <w:rPr>
          <w:color w:val="2E6E7E"/>
          <w:sz w:val="22"/>
          <w:szCs w:val="22"/>
        </w:rPr>
        <w:t xml:space="preserve">[Response]</w:t>
      </w:r>
    </w:p>
    <w:p>
      <w:pPr>
        <w:pStyle w:val="Heading1"/>
        <w:pageBreakBefore/>
      </w:pPr>
      <w:r>
        <w:t xml:space="preserve">2. Safeguards and Stakeholder Engagement</w:t>
      </w:r>
    </w:p>
    <w:p>
      <w:pPr>
        <w:pStyle w:val="Heading2"/>
      </w:pPr>
      <w:r>
        <w:t xml:space="preserve">2.1 Stakeholder Engagement and Consultation</w:t>
      </w:r>
    </w:p>
    <w:p>
      <w:pPr>
        <w:spacing w:after="140"/>
        <w:jc w:val="both"/>
      </w:pPr>
      <w:r>
        <w:rPr>
          <w:i/>
          <w:iCs/>
          <w:color w:val="7F7F7F"/>
          <w:sz w:val="20"/>
          <w:szCs w:val="20"/>
        </w:rPr>
        <w:t xml:space="preserve">Describe the local stakeholder consultation: identification of affected stakeholders (including host communities and Indigenous Peoples), notification methods, meetings held (dates, attendance, records), issues raised and responses, and design changes made. Where Indigenous Peoples or customary rights are affected, attach documentation of free, prior and informed consent (Rulebook 4.1). Describe the ongoing project-level grievance channel (Rulebook 4.2) and how its existence has been communicated.</w:t>
      </w:r>
    </w:p>
    <w:p>
      <w:pPr>
        <w:spacing w:after="200"/>
      </w:pPr>
      <w:r>
        <w:rPr>
          <w:color w:val="2E6E7E"/>
          <w:sz w:val="22"/>
          <w:szCs w:val="22"/>
        </w:rPr>
        <w:t xml:space="preserve">[Response]</w:t>
      </w:r>
    </w:p>
    <w:p>
      <w:pPr>
        <w:pStyle w:val="Heading2"/>
      </w:pPr>
      <w:r>
        <w:t xml:space="preserve">2.2 Risks to Stakeholders and the Environment</w:t>
      </w:r>
    </w:p>
    <w:p>
      <w:pPr>
        <w:spacing w:after="140"/>
        <w:jc w:val="both"/>
      </w:pPr>
      <w:r>
        <w:rPr>
          <w:i/>
          <w:iCs/>
          <w:color w:val="7F7F7F"/>
          <w:sz w:val="20"/>
          <w:szCs w:val="20"/>
        </w:rPr>
        <w:t xml:space="preserve">Describe material risks the project may pose to stakeholders or the environment (displacement, water, air, soil, livelihoods, safety) and the mitigation and monitoring measures adopted.</w:t>
      </w:r>
    </w:p>
    <w:p>
      <w:pPr>
        <w:spacing w:after="200"/>
      </w:pPr>
      <w:r>
        <w:rPr>
          <w:color w:val="2E6E7E"/>
          <w:sz w:val="22"/>
          <w:szCs w:val="22"/>
        </w:rPr>
        <w:t xml:space="preserve">[Response]</w:t>
      </w:r>
    </w:p>
    <w:p>
      <w:pPr>
        <w:pStyle w:val="Heading2"/>
      </w:pPr>
      <w:r>
        <w:t xml:space="preserve">2.3 Respect for Human Rights and Equity</w:t>
      </w:r>
    </w:p>
    <w:p>
      <w:pPr>
        <w:spacing w:after="140"/>
        <w:jc w:val="both"/>
      </w:pPr>
      <w:r>
        <w:rPr>
          <w:i/>
          <w:iCs/>
          <w:color w:val="7F7F7F"/>
          <w:sz w:val="20"/>
          <w:szCs w:val="20"/>
        </w:rPr>
        <w:t xml:space="preserve">Describe how the project respects human and labour rights, ensures non-discrimination and benefit-sharing arrangements where applicable, and protects vulnerable groups. Disclose any pending or historical rights-related disputes concerning the project area.</w:t>
      </w:r>
    </w:p>
    <w:p>
      <w:pPr>
        <w:spacing w:after="200"/>
      </w:pPr>
      <w:r>
        <w:rPr>
          <w:color w:val="2E6E7E"/>
          <w:sz w:val="22"/>
          <w:szCs w:val="22"/>
        </w:rPr>
        <w:t xml:space="preserve">[Response]</w:t>
      </w:r>
    </w:p>
    <w:p>
      <w:pPr>
        <w:pStyle w:val="Heading2"/>
      </w:pPr>
      <w:r>
        <w:t xml:space="preserve">2.4 Ecosystem Health</w:t>
      </w:r>
    </w:p>
    <w:p>
      <w:pPr>
        <w:spacing w:after="140"/>
        <w:jc w:val="both"/>
      </w:pPr>
      <w:r>
        <w:rPr>
          <w:i/>
          <w:iCs/>
          <w:color w:val="7F7F7F"/>
          <w:sz w:val="20"/>
          <w:szCs w:val="20"/>
        </w:rPr>
        <w:t xml:space="preserve">For projects affecting land or water: describe impacts on biodiversity, ecosystems and ecosystem services, including screening against critical habitats and protected areas, and measures to avoid or mitigate adverse effects.</w:t>
      </w:r>
    </w:p>
    <w:p>
      <w:pPr>
        <w:spacing w:after="200"/>
      </w:pPr>
      <w:r>
        <w:rPr>
          <w:color w:val="2E6E7E"/>
          <w:sz w:val="22"/>
          <w:szCs w:val="22"/>
        </w:rPr>
        <w:t xml:space="preserve">[Response]</w:t>
      </w:r>
    </w:p>
    <w:p>
      <w:pPr>
        <w:pStyle w:val="Heading1"/>
        <w:pageBreakBefore/>
      </w:pPr>
      <w:r>
        <w:t xml:space="preserve">3. Application of Methodology</w:t>
      </w:r>
    </w:p>
    <w:p>
      <w:pPr>
        <w:pStyle w:val="Heading2"/>
      </w:pPr>
      <w:r>
        <w:t xml:space="preserve">3.1 Methodology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1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Methodology ID and title</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[e.g., CERT-MTH-0xx]</w:t>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Version</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Tools/modules applied</w:t>
            </w:r>
          </w:p>
        </w:tc>
        <w:tc>
          <w:tcPr>
            <w:tcW w:type="dxa" w:w="61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3.2 Applicability and Eligibility of Methodology</w:t>
      </w:r>
    </w:p>
    <w:p>
      <w:pPr>
        <w:spacing w:after="140"/>
        <w:jc w:val="both"/>
      </w:pPr>
      <w:r>
        <w:rPr>
          <w:i/>
          <w:iCs/>
          <w:color w:val="7F7F7F"/>
          <w:sz w:val="20"/>
          <w:szCs w:val="20"/>
        </w:rPr>
        <w:t xml:space="preserve">Justify, condition by condition, that the project meets every applicability condition of the methodology. Present as a table: condition / evidence / conformance statement.</w:t>
      </w:r>
    </w:p>
    <w:p>
      <w:pPr>
        <w:spacing w:after="200"/>
      </w:pPr>
      <w:r>
        <w:rPr>
          <w:color w:val="2E6E7E"/>
          <w:sz w:val="22"/>
          <w:szCs w:val="22"/>
        </w:rPr>
        <w:t xml:space="preserve">[Response]</w:t>
      </w:r>
    </w:p>
    <w:p>
      <w:pPr>
        <w:pStyle w:val="Heading2"/>
      </w:pPr>
      <w:r>
        <w:t xml:space="preserve">3.3 Project Boundary</w:t>
      </w:r>
    </w:p>
    <w:p>
      <w:pPr>
        <w:spacing w:after="140"/>
        <w:jc w:val="both"/>
      </w:pPr>
      <w:r>
        <w:rPr>
          <w:i/>
          <w:iCs/>
          <w:color w:val="7F7F7F"/>
          <w:sz w:val="20"/>
          <w:szCs w:val="20"/>
        </w:rPr>
        <w:t xml:space="preserve">Define the project boundary: GHG sources, sinks and reservoirs included and excluded for baseline and project scenarios, with justification for exclusions. Include the boundary diagram.</w:t>
      </w:r>
    </w:p>
    <w:p>
      <w:pPr>
        <w:spacing w:after="200"/>
      </w:pPr>
      <w:r>
        <w:rPr>
          <w:color w:val="2E6E7E"/>
          <w:sz w:val="22"/>
          <w:szCs w:val="22"/>
        </w:rPr>
        <w:t xml:space="preserve">[Response]</w:t>
      </w:r>
    </w:p>
    <w:p>
      <w:pPr>
        <w:pStyle w:val="Heading2"/>
      </w:pPr>
      <w:r>
        <w:t xml:space="preserve">3.4 Baseline Scenario</w:t>
      </w:r>
    </w:p>
    <w:p>
      <w:pPr>
        <w:spacing w:after="140"/>
        <w:jc w:val="both"/>
      </w:pPr>
      <w:r>
        <w:rPr>
          <w:i/>
          <w:iCs/>
          <w:color w:val="7F7F7F"/>
          <w:sz w:val="20"/>
          <w:szCs w:val="20"/>
        </w:rPr>
        <w:t xml:space="preserve">Identify and justify the baseline scenario per the methodology, using conservative, data-driven assumptions (Rulebook 5.3). State all key parameters and data sources so a reader can reproduce the determination. Baselines are re-assessed at crediting period renewal against the then-current methodology version.</w:t>
      </w:r>
    </w:p>
    <w:p>
      <w:pPr>
        <w:spacing w:after="200"/>
      </w:pPr>
      <w:r>
        <w:rPr>
          <w:color w:val="2E6E7E"/>
          <w:sz w:val="22"/>
          <w:szCs w:val="22"/>
        </w:rPr>
        <w:t xml:space="preserve">[Response]</w:t>
      </w:r>
    </w:p>
    <w:p>
      <w:pPr>
        <w:pStyle w:val="Heading2"/>
      </w:pPr>
      <w:r>
        <w:t xml:space="preserve">3.5 Additionality — Financial Additionality (Investment Analysis)</w:t>
      </w:r>
    </w:p>
    <w:p>
      <w:pPr>
        <w:spacing w:after="140"/>
        <w:jc w:val="both"/>
      </w:pPr>
      <w:r>
        <w:rPr>
          <w:i/>
          <w:iCs/>
          <w:color w:val="7F7F7F"/>
          <w:sz w:val="20"/>
          <w:szCs w:val="20"/>
        </w:rPr>
        <w:t xml:space="preserve">CERT accepts one demonstration of additionality: financial (investment) analysis per Rulebook 5.1–5.2. Barrier analysis, common-practice analysis, technology-penetration arguments and qualitative narratives are not accepted and must not be included. Complete every element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Element</w:t>
            </w:r>
          </w:p>
        </w:tc>
        <w:tc>
          <w:tcPr>
            <w:tcW w:type="dxa" w:w="68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Requirement</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3.5.1 Analysis method</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Select benchmark analysis (IRR / NPV / levelised cost / payback) or investment comparison analysis, as permitted by the applied methodology.</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3.5.2 Financial benchmark</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the methodology-defined benchmark, its source and vintage. Where the methodology permits a project-specific benchmark, justify it with documented, verifiable evidence (e.g., weighted average cost of capital derivation).</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3.5.3 Analysis vintage</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the vintage of the financial analysis and the information basis used, per the applied methodology and CERT-TOOL-001.</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3.5.4 Financial model</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Attach the complete financial model (spreadsheet, formulas intact) as Appendix 3. State all input parameters, sources and assumptions in the model and summarise them here. Inputs must be audited or third-party-verifiable (Rulebook 5.2).</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3.5.5 Result without carbon revenue</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the indicator result excluding CRU revenue and demonstrate that it falls below the benchmark (or is less attractive than the comparison alternative).</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3.5.6 Result with carbon revenue</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the indicator result including expected CRU revenue and the CRU price assumption used, with source.</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3.5.7 Sensitivity analysis</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Present sensitivity of the result to the key parameters (minimum: ±10% on capital cost, operating cost, output/revenue and CRU price, plus any methodology-specified variables). Justify that the additionality conclusion is robust across plausible ranges.</w:t>
            </w:r>
          </w:p>
        </w:tc>
      </w:tr>
      <w:tr>
        <w:tc>
          <w:tcPr>
            <w:tcW w:type="dxa" w:w="2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3.5.8 Conclusion</w:t>
            </w:r>
          </w:p>
        </w:tc>
        <w:tc>
          <w:tcPr>
            <w:tcW w:type="dxa" w:w="68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the additionality conclusion. Note: knowingly misstated financial information is sanctionable under Rulebook Sections 12–13.</w:t>
            </w:r>
          </w:p>
        </w:tc>
      </w:tr>
    </w:tbl>
    <w:p>
      <w:pPr>
        <w:pStyle w:val="Heading2"/>
      </w:pPr>
      <w:r>
        <w:t xml:space="preserve">3.6 Methodology Deviations</w:t>
      </w:r>
    </w:p>
    <w:p>
      <w:pPr>
        <w:spacing w:after="140"/>
        <w:jc w:val="both"/>
      </w:pPr>
      <w:r>
        <w:rPr>
          <w:i/>
          <w:iCs/>
          <w:color w:val="7F7F7F"/>
          <w:sz w:val="20"/>
          <w:szCs w:val="20"/>
        </w:rPr>
        <w:t xml:space="preserve">Describe and justify any deviation from the methodology’s monitoring or measurement provisions, demonstrating it does not negatively affect conservativeness. Deviations relating to applicability, baseline, additionality or quantification methods are not permitted.</w:t>
      </w:r>
    </w:p>
    <w:p>
      <w:pPr>
        <w:spacing w:after="200"/>
      </w:pPr>
      <w:r>
        <w:rPr>
          <w:color w:val="2E6E7E"/>
          <w:sz w:val="22"/>
          <w:szCs w:val="22"/>
        </w:rPr>
        <w:t xml:space="preserve">[Response]</w:t>
      </w:r>
    </w:p>
    <w:p>
      <w:pPr>
        <w:pStyle w:val="Heading1"/>
        <w:pageBreakBefore/>
      </w:pPr>
      <w:r>
        <w:t xml:space="preserve">4. Implementation Status</w:t>
      </w:r>
    </w:p>
    <w:p>
      <w:pPr>
        <w:pStyle w:val="Heading2"/>
      </w:pPr>
      <w:r>
        <w:t xml:space="preserve">4.1 Implementation Status of the Project Activity</w:t>
      </w:r>
    </w:p>
    <w:p>
      <w:pPr>
        <w:spacing w:after="140"/>
        <w:jc w:val="both"/>
      </w:pPr>
      <w:r>
        <w:rPr>
          <w:i/>
          <w:iCs/>
          <w:color w:val="7F7F7F"/>
          <w:sz w:val="20"/>
          <w:szCs w:val="20"/>
        </w:rPr>
        <w:t xml:space="preserve">Describe the implementation status: commissioning/operation dates of each instance, deviations from the described design, and operational interruptions during the monitoring period.</w:t>
      </w:r>
    </w:p>
    <w:p>
      <w:pPr>
        <w:spacing w:after="200"/>
      </w:pPr>
      <w:r>
        <w:rPr>
          <w:color w:val="2E6E7E"/>
          <w:sz w:val="22"/>
          <w:szCs w:val="22"/>
        </w:rPr>
        <w:t xml:space="preserve">[Response]</w:t>
      </w:r>
    </w:p>
    <w:p>
      <w:pPr>
        <w:pStyle w:val="Heading2"/>
      </w:pPr>
      <w:r>
        <w:t xml:space="preserve">4.2 Loss and Reversal Events</w:t>
      </w:r>
    </w:p>
    <w:p>
      <w:pPr>
        <w:spacing w:after="140"/>
        <w:jc w:val="both"/>
      </w:pPr>
      <w:r>
        <w:rPr>
          <w:i/>
          <w:iCs/>
          <w:color w:val="7F7F7F"/>
          <w:sz w:val="20"/>
          <w:szCs w:val="20"/>
        </w:rPr>
        <w:t xml:space="preserve">Describe any loss or reversal events during the monitoring period. Nature-based projects: quantify reversed tonnes for Buffer Pool compensation under Rulebook 10.2. Non-nature-based storage projects: quantify any storage reversal and state the replacement plan under Rulebook 10.2A (replacement within 12 months). State "None" where no event occurred.</w:t>
      </w:r>
    </w:p>
    <w:p>
      <w:pPr>
        <w:spacing w:after="200"/>
      </w:pPr>
      <w:r>
        <w:rPr>
          <w:color w:val="2E6E7E"/>
          <w:sz w:val="22"/>
          <w:szCs w:val="22"/>
        </w:rPr>
        <w:t xml:space="preserve">[Response]</w:t>
      </w:r>
    </w:p>
    <w:p>
      <w:pPr>
        <w:pStyle w:val="Heading2"/>
      </w:pPr>
      <w:r>
        <w:t xml:space="preserve">4.3 New Project Activity Instances</w:t>
      </w:r>
    </w:p>
    <w:p>
      <w:pPr>
        <w:spacing w:after="140"/>
        <w:jc w:val="both"/>
      </w:pPr>
      <w:r>
        <w:rPr>
          <w:i/>
          <w:iCs/>
          <w:color w:val="7F7F7F"/>
          <w:sz w:val="20"/>
          <w:szCs w:val="20"/>
        </w:rPr>
        <w:t xml:space="preserve">For grouped projects: list instances added during the monitoring period and justify their conformance with the grouped-project eligibility criteria in Section 1.11.</w:t>
      </w:r>
    </w:p>
    <w:p>
      <w:pPr>
        <w:spacing w:after="200"/>
      </w:pPr>
      <w:r>
        <w:rPr>
          <w:color w:val="2E6E7E"/>
          <w:sz w:val="22"/>
          <w:szCs w:val="22"/>
        </w:rPr>
        <w:t xml:space="preserve">[Response]</w:t>
      </w:r>
    </w:p>
    <w:p>
      <w:pPr>
        <w:pStyle w:val="Heading1"/>
        <w:pageBreakBefore/>
      </w:pPr>
      <w:r>
        <w:t xml:space="preserve">5. Quantification of Estimated Reductions and Removals</w:t>
      </w:r>
    </w:p>
    <w:p>
      <w:pPr>
        <w:spacing w:after="140"/>
        <w:jc w:val="both"/>
      </w:pPr>
      <w:r>
        <w:rPr>
          <w:i/>
          <w:iCs/>
          <w:color w:val="7F7F7F"/>
          <w:sz w:val="20"/>
          <w:szCs w:val="20"/>
        </w:rPr>
        <w:t xml:space="preserve">Section 5 presents ex-ante estimates as per the project description; achieved results for the monitoring period are reported in Section 7. Subsection numbering 4.x in cross-references should be read as 5.x in this joint template.</w:t>
      </w:r>
    </w:p>
    <w:p>
      <w:pPr>
        <w:pStyle w:val="Heading2"/>
      </w:pPr>
      <w:r>
        <w:t xml:space="preserve">4.1 Baseline Emissions</w:t>
      </w:r>
    </w:p>
    <w:p>
      <w:pPr>
        <w:spacing w:after="140"/>
        <w:jc w:val="both"/>
      </w:pPr>
      <w:r>
        <w:rPr>
          <w:i/>
          <w:iCs/>
          <w:color w:val="7F7F7F"/>
          <w:sz w:val="20"/>
          <w:szCs w:val="20"/>
        </w:rPr>
        <w:t xml:space="preserve">Present the baseline emissions calculation per the methodology: formulae, parameter values, emission factors (with sources and vintages), and worked examples sufficient for reproduction.</w:t>
      </w:r>
    </w:p>
    <w:p>
      <w:pPr>
        <w:spacing w:after="200"/>
      </w:pPr>
      <w:r>
        <w:rPr>
          <w:color w:val="2E6E7E"/>
          <w:sz w:val="22"/>
          <w:szCs w:val="22"/>
        </w:rPr>
        <w:t xml:space="preserve">[Response]</w:t>
      </w:r>
    </w:p>
    <w:p>
      <w:pPr>
        <w:pStyle w:val="Heading2"/>
      </w:pPr>
      <w:r>
        <w:t xml:space="preserve">4.2 Project Emissions</w:t>
      </w:r>
    </w:p>
    <w:p>
      <w:pPr>
        <w:spacing w:after="140"/>
        <w:jc w:val="both"/>
      </w:pPr>
      <w:r>
        <w:rPr>
          <w:i/>
          <w:iCs/>
          <w:color w:val="7F7F7F"/>
          <w:sz w:val="20"/>
          <w:szCs w:val="20"/>
        </w:rPr>
        <w:t xml:space="preserve">Present project emissions calculations, including all sources within the boundary.</w:t>
      </w:r>
    </w:p>
    <w:p>
      <w:pPr>
        <w:spacing w:after="200"/>
      </w:pPr>
      <w:r>
        <w:rPr>
          <w:color w:val="2E6E7E"/>
          <w:sz w:val="22"/>
          <w:szCs w:val="22"/>
        </w:rPr>
        <w:t xml:space="preserve">[Response]</w:t>
      </w:r>
    </w:p>
    <w:p>
      <w:pPr>
        <w:pStyle w:val="Heading2"/>
      </w:pPr>
      <w:r>
        <w:t xml:space="preserve">4.3 Leakage</w:t>
      </w:r>
    </w:p>
    <w:p>
      <w:pPr>
        <w:spacing w:after="140"/>
        <w:jc w:val="both"/>
      </w:pPr>
      <w:r>
        <w:rPr>
          <w:i/>
          <w:iCs/>
          <w:color w:val="7F7F7F"/>
          <w:sz w:val="20"/>
          <w:szCs w:val="20"/>
        </w:rPr>
        <w:t xml:space="preserve">Present leakage quantification per the methodology, or justify why leakage is not applicable.</w:t>
      </w:r>
    </w:p>
    <w:p>
      <w:pPr>
        <w:spacing w:after="200"/>
      </w:pPr>
      <w:r>
        <w:rPr>
          <w:color w:val="2E6E7E"/>
          <w:sz w:val="22"/>
          <w:szCs w:val="22"/>
        </w:rPr>
        <w:t xml:space="preserve">[Response]</w:t>
      </w:r>
    </w:p>
    <w:p>
      <w:pPr>
        <w:pStyle w:val="Heading2"/>
      </w:pPr>
      <w:r>
        <w:t xml:space="preserve">4.4 Uncertainty and Conservativeness</w:t>
      </w:r>
    </w:p>
    <w:p>
      <w:pPr>
        <w:spacing w:after="140"/>
        <w:jc w:val="both"/>
      </w:pPr>
      <w:r>
        <w:rPr>
          <w:i/>
          <w:iCs/>
          <w:color w:val="7F7F7F"/>
          <w:sz w:val="20"/>
          <w:szCs w:val="20"/>
        </w:rPr>
        <w:t xml:space="preserve">Describe material uncertainties in data and parameters and the conservativeness measures or discounts applied (Rulebook 5.3). For nature-based projects, state the buffer contribution rating determined at validation (Rulebook 10.1); for non-nature-based projects with storage reversal risk, describe the replacement obligation arrangements (Rulebook 10.1A).</w:t>
      </w:r>
    </w:p>
    <w:p>
      <w:pPr>
        <w:spacing w:after="200"/>
      </w:pPr>
      <w:r>
        <w:rPr>
          <w:color w:val="2E6E7E"/>
          <w:sz w:val="22"/>
          <w:szCs w:val="22"/>
        </w:rPr>
        <w:t xml:space="preserve">[Response]</w:t>
      </w:r>
    </w:p>
    <w:p>
      <w:pPr>
        <w:pStyle w:val="Heading2"/>
      </w:pPr>
      <w:r>
        <w:t xml:space="preserve">4.5 Estimated Net GHG Emission Reductions and Removals</w:t>
      </w:r>
    </w:p>
    <w:p>
      <w:pPr>
        <w:spacing w:after="140"/>
        <w:jc w:val="both"/>
      </w:pPr>
      <w:r>
        <w:rPr>
          <w:i/>
          <w:iCs/>
          <w:color w:val="7F7F7F"/>
          <w:sz w:val="20"/>
          <w:szCs w:val="20"/>
        </w:rPr>
        <w:t xml:space="preserve">Fill out the table for each vintage year of the crediting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700"/>
        <w:gridCol w:w="1650"/>
        <w:gridCol w:w="1650"/>
        <w:gridCol w:w="1660"/>
        <w:gridCol w:w="1300"/>
      </w:tblGrid>
      <w:tr>
        <w:tc>
          <w:tcPr>
            <w:tcW w:type="dxa" w:w="14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Year</w:t>
            </w:r>
          </w:p>
        </w:tc>
        <w:tc>
          <w:tcPr>
            <w:tcW w:type="dxa" w:w="1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Baseline (tCO2e)</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Project (tCO2e)</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Leakage (tCO2e)</w:t>
            </w:r>
          </w:p>
        </w:tc>
        <w:tc>
          <w:tcPr>
            <w:tcW w:type="dxa" w:w="16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Buffer deduction</w:t>
            </w:r>
          </w:p>
        </w:tc>
        <w:tc>
          <w:tcPr>
            <w:tcW w:type="dxa" w:w="1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Net CRUs</w:t>
            </w:r>
          </w:p>
        </w:tc>
      </w:tr>
      <w:tr>
        <w:tc>
          <w:tcPr>
            <w:tcW w:type="dxa" w:w="1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[YYYY]</w:t>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[NBS only]</w:t>
            </w:r>
          </w:p>
        </w:tc>
        <w:tc>
          <w:tcPr>
            <w:tcW w:type="dxa" w:w="1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Total</w:t>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6. Monitoring</w:t>
      </w:r>
    </w:p>
    <w:p>
      <w:pPr>
        <w:pStyle w:val="Heading2"/>
      </w:pPr>
      <w:r>
        <w:t xml:space="preserve">6.1 Data and Parameters</w:t>
      </w:r>
    </w:p>
    <w:p>
      <w:pPr>
        <w:spacing w:after="140"/>
        <w:jc w:val="both"/>
      </w:pPr>
      <w:r>
        <w:rPr>
          <w:i/>
          <w:iCs/>
          <w:color w:val="7F7F7F"/>
          <w:sz w:val="20"/>
          <w:szCs w:val="20"/>
        </w:rPr>
        <w:t xml:space="preserve">Complete Appendix 2 for every parameter: (a) available at validation and fixed ex ante; and (b) monitored ex post. Summarise the key monitored parameters here.</w:t>
      </w:r>
    </w:p>
    <w:p>
      <w:pPr>
        <w:spacing w:after="200"/>
      </w:pPr>
      <w:r>
        <w:rPr>
          <w:color w:val="2E6E7E"/>
          <w:sz w:val="22"/>
          <w:szCs w:val="22"/>
        </w:rPr>
        <w:t xml:space="preserve">[Response]</w:t>
      </w:r>
    </w:p>
    <w:p>
      <w:pPr>
        <w:pStyle w:val="Heading2"/>
      </w:pPr>
      <w:r>
        <w:t xml:space="preserve">6.2 Monitoring Plan</w:t>
      </w:r>
    </w:p>
    <w:p>
      <w:pPr>
        <w:spacing w:after="140"/>
        <w:jc w:val="both"/>
      </w:pPr>
      <w:r>
        <w:rPr>
          <w:i/>
          <w:iCs/>
          <w:color w:val="7F7F7F"/>
          <w:sz w:val="20"/>
          <w:szCs w:val="20"/>
        </w:rPr>
        <w:t xml:space="preserve">Describe the monitoring system: organisational structure and responsibilities; measurement methods and equipment (with calibration regimes); data flows and digital MRV integrations (meter/sensor/satellite feeds where applicable); QA/QC procedures; data retention (minimum: crediting period plus permanence obligation period plus two years); and procedures for handling data gaps conservatively.</w:t>
      </w:r>
    </w:p>
    <w:p>
      <w:pPr>
        <w:spacing w:after="200"/>
      </w:pPr>
      <w:r>
        <w:rPr>
          <w:color w:val="2E6E7E"/>
          <w:sz w:val="22"/>
          <w:szCs w:val="22"/>
        </w:rPr>
        <w:t xml:space="preserve">[Response]</w:t>
      </w:r>
    </w:p>
    <w:p>
      <w:pPr>
        <w:pStyle w:val="Heading1"/>
        <w:pageBreakBefore/>
      </w:pPr>
      <w:r>
        <w:t xml:space="preserve">7. Quantification of Achieved GHG Emission Reductions and Removals</w:t>
      </w:r>
    </w:p>
    <w:p>
      <w:pPr>
        <w:pStyle w:val="Heading2"/>
      </w:pPr>
      <w:r>
        <w:t xml:space="preserve">7.1 Baseline Emissions (Monitoring Period)</w:t>
      </w:r>
    </w:p>
    <w:p>
      <w:pPr>
        <w:spacing w:after="140"/>
        <w:jc w:val="both"/>
      </w:pPr>
      <w:r>
        <w:rPr>
          <w:i/>
          <w:iCs/>
          <w:color w:val="7F7F7F"/>
          <w:sz w:val="20"/>
          <w:szCs w:val="20"/>
        </w:rPr>
        <w:t xml:space="preserve">Present baseline emissions for the monitoring period using monitored parameter values.</w:t>
      </w:r>
    </w:p>
    <w:p>
      <w:pPr>
        <w:spacing w:after="200"/>
      </w:pPr>
      <w:r>
        <w:rPr>
          <w:color w:val="2E6E7E"/>
          <w:sz w:val="22"/>
          <w:szCs w:val="22"/>
        </w:rPr>
        <w:t xml:space="preserve">[Response]</w:t>
      </w:r>
    </w:p>
    <w:p>
      <w:pPr>
        <w:pStyle w:val="Heading2"/>
      </w:pPr>
      <w:r>
        <w:t xml:space="preserve">7.2 Project Emissions (Monitoring Period)</w:t>
      </w:r>
    </w:p>
    <w:p>
      <w:pPr>
        <w:spacing w:after="200"/>
      </w:pPr>
      <w:r>
        <w:rPr>
          <w:color w:val="2E6E7E"/>
          <w:sz w:val="22"/>
          <w:szCs w:val="22"/>
        </w:rPr>
        <w:t xml:space="preserve">[Response]</w:t>
      </w:r>
    </w:p>
    <w:p>
      <w:pPr>
        <w:pStyle w:val="Heading2"/>
      </w:pPr>
      <w:r>
        <w:t xml:space="preserve">7.3 Leakage (Monitoring Period)</w:t>
      </w:r>
    </w:p>
    <w:p>
      <w:pPr>
        <w:spacing w:after="200"/>
      </w:pPr>
      <w:r>
        <w:rPr>
          <w:color w:val="2E6E7E"/>
          <w:sz w:val="22"/>
          <w:szCs w:val="22"/>
        </w:rPr>
        <w:t xml:space="preserve">[Response]</w:t>
      </w:r>
    </w:p>
    <w:p>
      <w:pPr>
        <w:pStyle w:val="Heading2"/>
      </w:pPr>
      <w:r>
        <w:t xml:space="preserve">7.4 Comparison with Estimates</w:t>
      </w:r>
    </w:p>
    <w:p>
      <w:pPr>
        <w:spacing w:after="140"/>
        <w:jc w:val="both"/>
      </w:pPr>
      <w:r>
        <w:rPr>
          <w:i/>
          <w:iCs/>
          <w:color w:val="7F7F7F"/>
          <w:sz w:val="20"/>
          <w:szCs w:val="20"/>
        </w:rPr>
        <w:t xml:space="preserve">Compare achieved reductions/removals with the ex-ante estimates in Section 5 and explain material differences (&gt;10%).</w:t>
      </w:r>
    </w:p>
    <w:p>
      <w:pPr>
        <w:spacing w:after="200"/>
      </w:pPr>
      <w:r>
        <w:rPr>
          <w:color w:val="2E6E7E"/>
          <w:sz w:val="22"/>
          <w:szCs w:val="22"/>
        </w:rPr>
        <w:t xml:space="preserve">[Response]</w:t>
      </w:r>
    </w:p>
    <w:p>
      <w:pPr>
        <w:pStyle w:val="Heading2"/>
      </w:pPr>
      <w:r>
        <w:t xml:space="preserve">7.5 Net Achieved CRUs Claimed</w:t>
      </w:r>
    </w:p>
    <w:p>
      <w:pPr>
        <w:spacing w:after="140"/>
        <w:jc w:val="both"/>
      </w:pPr>
      <w:r>
        <w:rPr>
          <w:i/>
          <w:iCs/>
          <w:color w:val="7F7F7F"/>
          <w:sz w:val="20"/>
          <w:szCs w:val="20"/>
        </w:rPr>
        <w:t xml:space="preserve">Fill out the table for the monitoring period, by vintage 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650"/>
        <w:gridCol w:w="1650"/>
        <w:gridCol w:w="1650"/>
        <w:gridCol w:w="1610"/>
        <w:gridCol w:w="1300"/>
      </w:tblGrid>
      <w:tr>
        <w:tc>
          <w:tcPr>
            <w:tcW w:type="dxa" w:w="15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Vintage year</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Baseline (tCO2e)</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Project (tCO2e)</w:t>
            </w:r>
          </w:p>
        </w:tc>
        <w:tc>
          <w:tcPr>
            <w:tcW w:type="dxa" w:w="16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Leakage (tCO2e)</w:t>
            </w:r>
          </w:p>
        </w:tc>
        <w:tc>
          <w:tcPr>
            <w:tcW w:type="dxa" w:w="161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Buffer deduction</w:t>
            </w:r>
          </w:p>
        </w:tc>
        <w:tc>
          <w:tcPr>
            <w:tcW w:type="dxa" w:w="13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Net CRUs claimed</w:t>
            </w:r>
          </w:p>
        </w:tc>
      </w:tr>
      <w:tr>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[YYYY]</w:t>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[NBS only]</w:t>
            </w:r>
          </w:p>
        </w:tc>
        <w:tc>
          <w:tcPr>
            <w:tcW w:type="dxa" w:w="1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Total</w:t>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6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3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1: Sensitive Information</w:t>
      </w:r>
    </w:p>
    <w:p>
      <w:pPr>
        <w:spacing w:after="140"/>
        <w:jc w:val="both"/>
      </w:pPr>
      <w:r>
        <w:rPr>
          <w:i/>
          <w:iCs/>
          <w:color w:val="7F7F7F"/>
          <w:sz w:val="20"/>
          <w:szCs w:val="20"/>
        </w:rPr>
        <w:t xml:space="preserve">Where information required for validation contains commercially sensitive material, place it here with justification for confidential treatment. Note Rulebook/Charter transparency defaults: confidentiality is the narrow exception; personal data is protected per CERT-GOV-007. CERT and the VVB receive the complete version; the public version may redact only this appendix.</w:t>
      </w:r>
    </w:p>
    <w:p>
      <w:pPr>
        <w:spacing w:after="200"/>
      </w:pPr>
      <w:r>
        <w:rPr>
          <w:color w:val="2E6E7E"/>
          <w:sz w:val="22"/>
          <w:szCs w:val="22"/>
        </w:rPr>
        <w:t xml:space="preserve">[Response]</w:t>
      </w:r>
    </w:p>
    <w:p>
      <w:pPr>
        <w:pStyle w:val="Heading1"/>
        <w:pageBreakBefore/>
      </w:pPr>
      <w:r>
        <w:t xml:space="preserve">Appendix 2: Data and Parameters</w:t>
      </w:r>
    </w:p>
    <w:p>
      <w:pPr>
        <w:spacing w:after="140"/>
        <w:jc w:val="both"/>
      </w:pPr>
      <w:r>
        <w:rPr>
          <w:i/>
          <w:iCs/>
          <w:color w:val="7F7F7F"/>
          <w:sz w:val="20"/>
          <w:szCs w:val="20"/>
        </w:rPr>
        <w:t xml:space="preserve">Fill out one block per parameter, for parameters fixed ex ante and parameters monitored ex post.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5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Parameter ID / unit</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Description</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Source of data</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Value(s) applied</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Measurement method / equipment / calibration</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frequency</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QA/QC procedures</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Conservativeness treatment</w:t>
            </w:r>
          </w:p>
        </w:tc>
        <w:tc>
          <w:tcPr>
            <w:tcW w:type="dxa" w:w="5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3: Financial Additionality Model</w:t>
      </w:r>
    </w:p>
    <w:p>
      <w:pPr>
        <w:spacing w:after="140"/>
        <w:jc w:val="both"/>
      </w:pPr>
      <w:r>
        <w:rPr>
          <w:i/>
          <w:iCs/>
          <w:color w:val="7F7F7F"/>
          <w:sz w:val="20"/>
          <w:szCs w:val="20"/>
        </w:rPr>
        <w:t xml:space="preserve">Attach the complete financial model workbook (formulas intact) supporting Section 3.5. This appendix may be designated sensitive under Appendix 1 rules; the registry-published version will state the analysis method, benchmark, headline results and sensitivity conclusions.</w:t>
      </w:r>
    </w:p>
    <w:p>
      <w:pPr>
        <w:spacing w:after="200"/>
      </w:pPr>
      <w:r>
        <w:rPr>
          <w:color w:val="2E6E7E"/>
          <w:sz w:val="22"/>
          <w:szCs w:val="22"/>
        </w:rPr>
        <w:t xml:space="preserve">[Response]</w:t>
      </w:r>
    </w:p>
    <w:p>
      <w:pPr>
        <w:pStyle w:val="Heading1"/>
        <w:pageBreakBefore/>
      </w:pPr>
      <w:r>
        <w:t xml:space="preserve">Appendix X: [Title of Appendix]</w:t>
      </w:r>
    </w:p>
    <w:p>
      <w:pPr>
        <w:spacing w:after="140"/>
        <w:jc w:val="both"/>
      </w:pPr>
      <w:r>
        <w:rPr>
          <w:i/>
          <w:iCs/>
          <w:color w:val="7F7F7F"/>
          <w:sz w:val="20"/>
          <w:szCs w:val="20"/>
        </w:rPr>
        <w:t xml:space="preserve">Add further appendices as needed (e.g., geospatial files register, consultation records, FPIC documentation, permits).</w:t>
      </w:r>
    </w:p>
    <w:p>
      <w:pPr>
        <w:spacing w:after="200"/>
      </w:pPr>
      <w:r>
        <w:rPr>
          <w:color w:val="2E6E7E"/>
          <w:sz w:val="22"/>
          <w:szCs w:val="22"/>
        </w:rPr>
        <w:t xml:space="preserve">[Response]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4" w:space="4"/>
      </w:pBdr>
      <w:tabs>
        <w:tab w:val="right" w:pos="9026"/>
      </w:tabs>
    </w:pPr>
    <w:r>
      <w:drawing>
        <wp:inline distT="0" distB="0" distL="0" distR="0">
          <wp:extent cx="828675" cy="257175"/>
          <wp:effectExtent t="0" r="0" b="0" l="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Joint Project Description and Monitoring Report Template</w:t>
    </w:r>
    <w:r>
      <w:rPr>
        <w:color w:val="666666"/>
        <w:sz w:val="18"/>
        <w:szCs w:val="18"/>
      </w:rPr>
      <w:t xml:space="preserve">	CERT-TMP-002 · v1.0 · Public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00"/>
      <w:outlineLvl w:val="0"/>
    </w:pPr>
    <w:rPr>
      <w:rFonts w:ascii="Arial" w:cs="Arial" w:eastAsia="Arial" w:hAnsi="Arial"/>
      <w:b/>
      <w:bCs/>
      <w:color w:val="1F4E5F"/>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6E7E"/>
      <w:sz w:val="26"/>
      <w:szCs w:val="26"/>
    </w:rPr>
  </w:style>
  <w:style w:type="paragraph" w:styleId="Heading3">
    <w:name w:val="Heading 3"/>
    <w:basedOn w:val="Normal"/>
    <w:next w:val="Normal"/>
    <w:qFormat/>
    <w:pPr>
      <w:spacing w:after="120" w:before="20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80dc010f357a0c444a28c993e7e0d3d567bd1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2026-07-03T18:10:19.346Z</dcterms:created>
  <dcterms:modified xsi:type="dcterms:W3CDTF">2026-07-03T18:10:19.346Z</dcterms:modified>
</cp:coreProperties>
</file>

<file path=docProps/custom.xml><?xml version="1.0" encoding="utf-8"?>
<Properties xmlns="http://schemas.openxmlformats.org/officeDocument/2006/custom-properties" xmlns:vt="http://schemas.openxmlformats.org/officeDocument/2006/docPropsVTypes"/>
</file>