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b/>
          <w:bCs/>
          <w:color w:val="1F4E5F"/>
          <w:sz w:val="72"/>
          <w:szCs w:val="72"/>
        </w:rPr>
        <w:t xml:space="preserve">CERT</w:t>
      </w:r>
    </w:p>
    <w:p>
      <w:pPr>
        <w:spacing w:after="400"/>
        <w:jc w:val="center"/>
      </w:pPr>
      <w:r>
        <w:rPr>
          <w:color w:val="1F4E5F"/>
          <w:sz w:val="32"/>
          <w:szCs w:val="32"/>
        </w:rPr>
        <w:t xml:space="preserve">Certified Emissions Reduction Technologies Foundation</w:t>
      </w:r>
    </w:p>
    <w:p>
      <w:pPr>
        <w:spacing w:before="1200"/>
        <w:jc w:val="center"/>
      </w:pPr>
      <w:r>
        <w:rPr>
          <w:b/>
          <w:bCs/>
          <w:sz w:val="44"/>
          <w:szCs w:val="44"/>
        </w:rPr>
        <w:t xml:space="preserve">MONITORING REPORT TEMPLATE</w:t>
      </w:r>
    </w:p>
    <w:p>
      <w:pPr>
        <w:spacing w:after="1600"/>
        <w:jc w:val="center"/>
      </w:pPr>
      <w:r>
        <w:rPr>
          <w:i/>
          <w:iCs/>
          <w:sz w:val="26"/>
          <w:szCs w:val="26"/>
        </w:rPr>
        <w:t xml:space="preserve">Template for Reporting Monitored Results of Registered CERT Projects</w:t>
      </w:r>
    </w:p>
    <w:p>
      <w:pPr>
        <w:jc w:val="center"/>
      </w:pPr>
      <w:r>
        <w:rPr>
          <w:sz w:val="22"/>
          <w:szCs w:val="22"/>
        </w:rPr>
        <w:t xml:space="preserve">Document ID: CERT-TMP-003</w:t>
      </w:r>
    </w:p>
    <w:p>
      <w:pPr>
        <w:jc w:val="center"/>
      </w:pPr>
      <w:r>
        <w:rPr>
          <w:sz w:val="22"/>
          <w:szCs w:val="22"/>
        </w:rPr>
        <w:t xml:space="preserve">Version 1.0 (Draft for Consultation)</w:t>
      </w:r>
    </w:p>
    <w:p>
      <w:pPr>
        <w:jc w:val="center"/>
      </w:pPr>
      <w:r>
        <w:rPr>
          <w:sz w:val="22"/>
          <w:szCs w:val="22"/>
        </w:rPr>
        <w:t xml:space="preserve">Date: 2 July 2026</w:t>
      </w:r>
    </w:p>
    <w:p>
      <w:pPr>
        <w:jc w:val="center"/>
      </w:pPr>
      <w:r>
        <w:rPr>
          <w:sz w:val="22"/>
          <w:szCs w:val="22"/>
        </w:rPr>
        <w:t xml:space="preserve">Classification: Public</w:t>
      </w:r>
    </w:p>
    <w:p>
      <w:r>
        <w:br w:type="page"/>
      </w:r>
    </w:p>
    <w:p>
      <w:pPr>
        <w:pStyle w:val="Heading2"/>
      </w:pPr>
      <w: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6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Detail</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Document ID</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CERT-TMP-003</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Title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Monitoring Report Template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Version</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 (Draft for Consultation)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Status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Draft – pending Board adoption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Owner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Secretariat (Registry Operations)</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Approver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Standards Committee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Review cycle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Upon each material Rulebook or methodology-framework change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Related documents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CERT-REG-001; CERT-TMP-001; CERT-TMP-004; applied CERT methodology</w:t>
            </w:r>
          </w:p>
        </w:tc>
      </w:tr>
    </w:tbl>
    <w:p>
      <w:pPr>
        <w:spacing w:before="240"/>
      </w:pPr>
    </w:p>
    <w:p>
      <w:pPr>
        <w:pStyle w:val="Heading2"/>
      </w:pPr>
      <w: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2600"/>
        <w:gridCol w:w="3960"/>
      </w:tblGrid>
      <w:tr>
        <w:tc>
          <w:tcPr>
            <w:tcW w:type="dxa" w:w="1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Version</w:t>
            </w:r>
          </w:p>
        </w:tc>
        <w:tc>
          <w:tcPr>
            <w:tcW w:type="dxa" w:w="1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Date</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Author</w:t>
            </w:r>
          </w:p>
        </w:tc>
        <w:tc>
          <w:tcPr>
            <w:tcW w:type="dxa" w:w="3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Description</w:t>
            </w:r>
          </w:p>
        </w:tc>
      </w:tr>
      <w:tr>
        <w:tc>
          <w:tcPr>
            <w:tcW w:type="dxa" w:w="1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w:t>
            </w:r>
          </w:p>
        </w:tc>
        <w:tc>
          <w:tcPr>
            <w:tcW w:type="dxa" w:w="1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2026-07-02</w:t>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Founding Secretariat</w:t>
            </w:r>
          </w:p>
        </w:tc>
        <w:tc>
          <w:tcPr>
            <w:tcW w:type="dxa" w:w="3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Initial draft for founding Board review.</w:t>
            </w:r>
          </w:p>
        </w:tc>
      </w:tr>
    </w:tbl>
    <w:p>
      <w:r>
        <w:br w:type="page"/>
      </w:r>
    </w:p>
    <w:p>
      <w:pPr>
        <w:pStyle w:val="Heading2"/>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Instructions for Completing This Template</w:t>
      </w:r>
    </w:p>
    <w:p>
      <w:pPr>
        <w:spacing w:after="140"/>
        <w:jc w:val="both"/>
      </w:pPr>
      <w:r>
        <w:rPr>
          <w:i/>
          <w:iCs/>
          <w:color w:val="7F7F7F"/>
          <w:sz w:val="20"/>
          <w:szCs w:val="20"/>
        </w:rPr>
        <w:t xml:space="preserve">This template is issued under the CERT Registry Rulebook (CERT-REG-001). Instructions and guidance are formatted in gray italics and must be deleted from the final document. If a section is not applicable, retain the heading and justify why it is not applicable; do not simply write "not applicable" and do not delete the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Item</w:t>
            </w:r>
          </w:p>
        </w:tc>
        <w:tc>
          <w:tcPr>
            <w:tcW w:type="dxa" w:w="6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Requirement</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File name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CERT_MR_[ProjectID]_[DDMMMYYYY]_vX.Y</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File type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Non-editable PDF for submission; editable copy retained by the proponent</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Language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English (supporting evidence may be in original language with summary translation)</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Rules reference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Registry Rulebook (CERT-REG-001) and the applied CERT methodology; this template does not replace the rules</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Instruction terms</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 facts only; "Describe" = narrative; "Explain" = reasoning; "Justify" = evidence-based demonstration an auditor can assess; "Attach" = appendix or separate document; "Select" = choose option</w:t>
            </w:r>
          </w:p>
        </w:tc>
      </w:tr>
    </w:tbl>
    <w:p>
      <w:pPr>
        <w:spacing w:after="140"/>
        <w:jc w:val="both"/>
      </w:pPr>
      <w:r>
        <w:rPr>
          <w:i/>
          <w:iCs/>
          <w:color w:val="7F7F7F"/>
          <w:sz w:val="20"/>
          <w:szCs w:val="20"/>
        </w:rPr>
        <w:t xml:space="preserve">New template versions are issued when the underlying CERT rules change. Confirm you are using the current version in the CERT Document Library before submission. Monitoring report submissions prepared on superseded template versions may be returned.</w:t>
      </w:r>
    </w:p>
    <w:p>
      <w:pPr>
        <w:pStyle w:val="Heading2"/>
      </w:pPr>
      <w:r>
        <w:t xml:space="preserve">Monitoring Report Summary Table</w:t>
      </w:r>
    </w:p>
    <w:p>
      <w:pPr>
        <w:spacing w:after="140"/>
        <w:jc w:val="both"/>
      </w:pPr>
      <w:r>
        <w:rPr>
          <w:i/>
          <w:iCs/>
          <w:color w:val="7F7F7F"/>
          <w:sz w:val="20"/>
          <w:szCs w:val="20"/>
        </w:rPr>
        <w:t xml:space="preserve">Fill out the table. This table appears on the registry project page for the monitoring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55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name / CERT Project ID</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proponent</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Applied methodology (ID, version)</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family</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[Nature-based / Non-nature-based]</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Monitoring period (this report)</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[DD-MMM-YYYY to DD-MMM-YYYY]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Monitoring report number</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[Sequential]</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CRUs claimed for this period</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Prepared by / date / template version</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1. Project Details</w:t>
      </w:r>
    </w:p>
    <w:p>
      <w:pPr>
        <w:pStyle w:val="Heading2"/>
      </w:pPr>
      <w:r>
        <w:t xml:space="preserve">1.1 Summary of Project Implementation</w:t>
      </w:r>
    </w:p>
    <w:p>
      <w:pPr>
        <w:spacing w:after="140"/>
        <w:jc w:val="both"/>
      </w:pPr>
      <w:r>
        <w:rPr>
          <w:i/>
          <w:iCs/>
          <w:color w:val="7F7F7F"/>
          <w:sz w:val="20"/>
          <w:szCs w:val="20"/>
        </w:rPr>
        <w:t xml:space="preserve">Summarise (maximum one page) implementation and operation during the monitoring period, including performance against estimates and any events material to quantification.</w:t>
      </w:r>
    </w:p>
    <w:p>
      <w:pPr>
        <w:spacing w:after="200"/>
      </w:pPr>
      <w:r>
        <w:rPr>
          <w:color w:val="2E6E7E"/>
          <w:sz w:val="22"/>
          <w:szCs w:val="22"/>
        </w:rPr>
        <w:t xml:space="preserve">[Response]</w:t>
      </w:r>
    </w:p>
    <w:p>
      <w:pPr>
        <w:pStyle w:val="Heading2"/>
      </w:pPr>
      <w:r>
        <w:t xml:space="preserve">1.2 Review History</w:t>
      </w:r>
    </w:p>
    <w:p>
      <w:pPr>
        <w:spacing w:after="140"/>
        <w:jc w:val="both"/>
      </w:pPr>
      <w:r>
        <w:rPr>
          <w:i/>
          <w:iCs/>
          <w:color w:val="7F7F7F"/>
          <w:sz w:val="20"/>
          <w:szCs w:val="20"/>
        </w:rPr>
        <w:t xml:space="preserve">Fill out the table for all prior validations, verifications and CERT reviews of this project, including outcomes and any open findings carried into this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2300"/>
        <w:gridCol w:w="2200"/>
        <w:gridCol w:w="2560"/>
      </w:tblGrid>
      <w:tr>
        <w:tc>
          <w:tcPr>
            <w:tcW w:type="dxa" w:w="23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Engagement</w:t>
            </w:r>
          </w:p>
        </w:tc>
        <w:tc>
          <w:tcPr>
            <w:tcW w:type="dxa" w:w="23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Body</w:t>
            </w:r>
          </w:p>
        </w:tc>
        <w:tc>
          <w:tcPr>
            <w:tcW w:type="dxa" w:w="2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Period/Date</w:t>
            </w:r>
          </w:p>
        </w:tc>
        <w:tc>
          <w:tcPr>
            <w:tcW w:type="dxa" w:w="25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Outcome / open findings</w:t>
            </w:r>
          </w:p>
        </w:tc>
      </w:tr>
      <w:tr>
        <w:tc>
          <w:tcPr>
            <w:tcW w:type="dxa" w:w="2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2"/>
      </w:pPr>
      <w:r>
        <w:t xml:space="preserve">1.3 Sectoral Scope and Project Classification</w:t>
      </w:r>
    </w:p>
    <w:p>
      <w:pPr>
        <w:spacing w:after="200"/>
      </w:pPr>
      <w:r>
        <w:rPr>
          <w:color w:val="2E6E7E"/>
          <w:sz w:val="22"/>
          <w:szCs w:val="22"/>
        </w:rPr>
        <w:t xml:space="preserve">[Response]</w:t>
      </w:r>
    </w:p>
    <w:p>
      <w:pPr>
        <w:pStyle w:val="Heading2"/>
      </w:pPr>
      <w:r>
        <w:t xml:space="preserve">1.4 Project Proponent and Other Entities</w:t>
      </w:r>
    </w:p>
    <w:p>
      <w:pPr>
        <w:spacing w:after="140"/>
        <w:jc w:val="both"/>
      </w:pPr>
      <w:r>
        <w:rPr>
          <w:i/>
          <w:iCs/>
          <w:color w:val="7F7F7F"/>
          <w:sz w:val="20"/>
          <w:szCs w:val="20"/>
        </w:rPr>
        <w:t xml:space="preserve">State the proponent and any entities with monitoring responsibilities during this period. Report any change of control since registration (Rulebook 2.4).</w:t>
      </w:r>
    </w:p>
    <w:p>
      <w:pPr>
        <w:spacing w:after="200"/>
      </w:pPr>
      <w:r>
        <w:rPr>
          <w:color w:val="2E6E7E"/>
          <w:sz w:val="22"/>
          <w:szCs w:val="22"/>
        </w:rPr>
        <w:t xml:space="preserve">[Response]</w:t>
      </w:r>
    </w:p>
    <w:p>
      <w:pPr>
        <w:pStyle w:val="Heading2"/>
      </w:pPr>
      <w:r>
        <w:t xml:space="preserve">1.5 Project Start Date and Crediting Period</w:t>
      </w:r>
    </w:p>
    <w:p>
      <w:pPr>
        <w:spacing w:after="200"/>
      </w:pPr>
      <w:r>
        <w:rPr>
          <w:color w:val="2E6E7E"/>
          <w:sz w:val="22"/>
          <w:szCs w:val="22"/>
        </w:rPr>
        <w:t xml:space="preserve">[Response]</w:t>
      </w:r>
    </w:p>
    <w:p>
      <w:pPr>
        <w:pStyle w:val="Heading2"/>
      </w:pPr>
      <w:r>
        <w:t xml:space="preserve">1.6 Project Location</w:t>
      </w:r>
    </w:p>
    <w:p>
      <w:pPr>
        <w:spacing w:after="140"/>
        <w:jc w:val="both"/>
      </w:pPr>
      <w:r>
        <w:rPr>
          <w:i/>
          <w:iCs/>
          <w:color w:val="7F7F7F"/>
          <w:sz w:val="20"/>
          <w:szCs w:val="20"/>
        </w:rPr>
        <w:t xml:space="preserve">Confirm the registered boundary is unchanged, or describe and justify boundary corrections with updated geospatial files.</w:t>
      </w:r>
    </w:p>
    <w:p>
      <w:pPr>
        <w:spacing w:after="200"/>
      </w:pPr>
      <w:r>
        <w:rPr>
          <w:color w:val="2E6E7E"/>
          <w:sz w:val="22"/>
          <w:szCs w:val="22"/>
        </w:rPr>
        <w:t xml:space="preserve">[Response]</w:t>
      </w:r>
    </w:p>
    <w:p>
      <w:pPr>
        <w:pStyle w:val="Heading2"/>
      </w:pPr>
      <w:r>
        <w:t xml:space="preserve">1.7 Double Counting and Participation with Other GHG Programmes</w:t>
      </w:r>
    </w:p>
    <w:p>
      <w:pPr>
        <w:spacing w:after="140"/>
        <w:jc w:val="both"/>
      </w:pPr>
      <w:r>
        <w:rPr>
          <w:i/>
          <w:iCs/>
          <w:color w:val="7F7F7F"/>
          <w:sz w:val="20"/>
          <w:szCs w:val="20"/>
        </w:rPr>
        <w:t xml:space="preserve">Confirm the declarations made at registration remain accurate for this monitoring period; disclose any new registration or claim under another programme or instrument (Rulebook 11).</w:t>
      </w:r>
    </w:p>
    <w:p>
      <w:pPr>
        <w:spacing w:after="200"/>
      </w:pPr>
      <w:r>
        <w:rPr>
          <w:color w:val="2E6E7E"/>
          <w:sz w:val="22"/>
          <w:szCs w:val="22"/>
        </w:rPr>
        <w:t xml:space="preserve">[Response]</w:t>
      </w:r>
    </w:p>
    <w:p>
      <w:pPr>
        <w:pStyle w:val="Heading2"/>
      </w:pPr>
      <w:r>
        <w:t xml:space="preserve">1.8 Double Claiming and Article 6 Status</w:t>
      </w:r>
    </w:p>
    <w:p>
      <w:pPr>
        <w:spacing w:after="140"/>
        <w:jc w:val="both"/>
      </w:pPr>
      <w:r>
        <w:rPr>
          <w:i/>
          <w:iCs/>
          <w:color w:val="7F7F7F"/>
          <w:sz w:val="20"/>
          <w:szCs w:val="20"/>
        </w:rPr>
        <w:t xml:space="preserve">State the Article 6 authorisation and corresponding adjustment status applicable to CRUs claimed for this period, with references to recorded host-country documentation (Rulebook 8).</w:t>
      </w:r>
    </w:p>
    <w:p>
      <w:pPr>
        <w:spacing w:after="200"/>
      </w:pPr>
      <w:r>
        <w:rPr>
          <w:color w:val="2E6E7E"/>
          <w:sz w:val="22"/>
          <w:szCs w:val="22"/>
        </w:rPr>
        <w:t xml:space="preserve">[Response]</w:t>
      </w:r>
    </w:p>
    <w:p>
      <w:pPr>
        <w:pStyle w:val="Heading2"/>
      </w:pPr>
      <w:r>
        <w:t xml:space="preserve">1.9 Sustainable Development Contributions</w:t>
      </w:r>
    </w:p>
    <w:p>
      <w:pPr>
        <w:spacing w:after="140"/>
        <w:jc w:val="both"/>
      </w:pPr>
      <w:r>
        <w:rPr>
          <w:i/>
          <w:iCs/>
          <w:color w:val="7F7F7F"/>
          <w:sz w:val="20"/>
          <w:szCs w:val="20"/>
        </w:rPr>
        <w:t xml:space="preserve">Report progress against the sustainable development contributions described at registration (Rulebook 4.4), with monitored indicators where defined.</w:t>
      </w:r>
    </w:p>
    <w:p>
      <w:pPr>
        <w:spacing w:after="200"/>
      </w:pPr>
      <w:r>
        <w:rPr>
          <w:color w:val="2E6E7E"/>
          <w:sz w:val="22"/>
          <w:szCs w:val="22"/>
        </w:rPr>
        <w:t xml:space="preserve">[Response]</w:t>
      </w:r>
    </w:p>
    <w:p>
      <w:pPr>
        <w:pStyle w:val="Heading2"/>
      </w:pPr>
      <w:r>
        <w:t xml:space="preserve">1.10 Additional Information</w:t>
      </w:r>
    </w:p>
    <w:p>
      <w:pPr>
        <w:spacing w:after="200"/>
      </w:pPr>
      <w:r>
        <w:rPr>
          <w:color w:val="2E6E7E"/>
          <w:sz w:val="22"/>
          <w:szCs w:val="22"/>
        </w:rPr>
        <w:t xml:space="preserve">[Response]</w:t>
      </w:r>
    </w:p>
    <w:p>
      <w:pPr>
        <w:pStyle w:val="Heading1"/>
        <w:pageBreakBefore/>
      </w:pPr>
      <w:r>
        <w:t xml:space="preserve">2. Safeguards and Stakeholder Engagement</w:t>
      </w:r>
    </w:p>
    <w:p>
      <w:pPr>
        <w:pStyle w:val="Heading2"/>
      </w:pPr>
      <w:r>
        <w:t xml:space="preserve">2.1 Stakeholder Engagement and Consultation</w:t>
      </w:r>
    </w:p>
    <w:p>
      <w:pPr>
        <w:spacing w:after="140"/>
        <w:jc w:val="both"/>
      </w:pPr>
      <w:r>
        <w:rPr>
          <w:i/>
          <w:iCs/>
          <w:color w:val="7F7F7F"/>
          <w:sz w:val="20"/>
          <w:szCs w:val="20"/>
        </w:rPr>
        <w:t xml:space="preserve">Describe the local stakeholder consultation: identification of affected stakeholders (including host communities and Indigenous Peoples), notification methods, meetings held (dates, attendance, records), issues raised and responses, and design changes made. Where Indigenous Peoples or customary rights are affected, attach documentation of free, prior and informed consent (Rulebook 4.1). Describe the ongoing project-level grievance channel (Rulebook 4.2) and how its existence has been communicated.</w:t>
      </w:r>
    </w:p>
    <w:p>
      <w:pPr>
        <w:spacing w:after="200"/>
      </w:pPr>
      <w:r>
        <w:rPr>
          <w:color w:val="2E6E7E"/>
          <w:sz w:val="22"/>
          <w:szCs w:val="22"/>
        </w:rPr>
        <w:t xml:space="preserve">[Response]</w:t>
      </w:r>
    </w:p>
    <w:p>
      <w:pPr>
        <w:pStyle w:val="Heading2"/>
      </w:pPr>
      <w:r>
        <w:t xml:space="preserve">2.2 Risks to Stakeholders and the Environment</w:t>
      </w:r>
    </w:p>
    <w:p>
      <w:pPr>
        <w:spacing w:after="140"/>
        <w:jc w:val="both"/>
      </w:pPr>
      <w:r>
        <w:rPr>
          <w:i/>
          <w:iCs/>
          <w:color w:val="7F7F7F"/>
          <w:sz w:val="20"/>
          <w:szCs w:val="20"/>
        </w:rPr>
        <w:t xml:space="preserve">Describe material risks the project may pose to stakeholders or the environment (displacement, water, air, soil, livelihoods, safety) and the mitigation and monitoring measures adopted.</w:t>
      </w:r>
    </w:p>
    <w:p>
      <w:pPr>
        <w:spacing w:after="200"/>
      </w:pPr>
      <w:r>
        <w:rPr>
          <w:color w:val="2E6E7E"/>
          <w:sz w:val="22"/>
          <w:szCs w:val="22"/>
        </w:rPr>
        <w:t xml:space="preserve">[Response]</w:t>
      </w:r>
    </w:p>
    <w:p>
      <w:pPr>
        <w:pStyle w:val="Heading2"/>
      </w:pPr>
      <w:r>
        <w:t xml:space="preserve">2.3 Respect for Human Rights and Equity</w:t>
      </w:r>
    </w:p>
    <w:p>
      <w:pPr>
        <w:spacing w:after="140"/>
        <w:jc w:val="both"/>
      </w:pPr>
      <w:r>
        <w:rPr>
          <w:i/>
          <w:iCs/>
          <w:color w:val="7F7F7F"/>
          <w:sz w:val="20"/>
          <w:szCs w:val="20"/>
        </w:rPr>
        <w:t xml:space="preserve">Describe how the project respects human and labour rights, ensures non-discrimination and benefit-sharing arrangements where applicable, and protects vulnerable groups. Disclose any pending or historical rights-related disputes concerning the project area.</w:t>
      </w:r>
    </w:p>
    <w:p>
      <w:pPr>
        <w:spacing w:after="200"/>
      </w:pPr>
      <w:r>
        <w:rPr>
          <w:color w:val="2E6E7E"/>
          <w:sz w:val="22"/>
          <w:szCs w:val="22"/>
        </w:rPr>
        <w:t xml:space="preserve">[Response]</w:t>
      </w:r>
    </w:p>
    <w:p>
      <w:pPr>
        <w:pStyle w:val="Heading2"/>
      </w:pPr>
      <w:r>
        <w:t xml:space="preserve">2.4 Ecosystem Health</w:t>
      </w:r>
    </w:p>
    <w:p>
      <w:pPr>
        <w:spacing w:after="140"/>
        <w:jc w:val="both"/>
      </w:pPr>
      <w:r>
        <w:rPr>
          <w:i/>
          <w:iCs/>
          <w:color w:val="7F7F7F"/>
          <w:sz w:val="20"/>
          <w:szCs w:val="20"/>
        </w:rPr>
        <w:t xml:space="preserve">For projects affecting land or water: describe impacts on biodiversity, ecosystems and ecosystem services, including screening against critical habitats and protected areas, and measures to avoid or mitigate adverse effects.</w:t>
      </w:r>
    </w:p>
    <w:p>
      <w:pPr>
        <w:spacing w:after="200"/>
      </w:pPr>
      <w:r>
        <w:rPr>
          <w:color w:val="2E6E7E"/>
          <w:sz w:val="22"/>
          <w:szCs w:val="22"/>
        </w:rPr>
        <w:t xml:space="preserve">[Response]</w:t>
      </w:r>
    </w:p>
    <w:p>
      <w:pPr>
        <w:pStyle w:val="Heading1"/>
        <w:pageBreakBefore/>
      </w:pPr>
      <w:r>
        <w:t xml:space="preserve">3. Implementation Status</w:t>
      </w:r>
    </w:p>
    <w:p>
      <w:pPr>
        <w:pStyle w:val="Heading2"/>
      </w:pPr>
      <w:r>
        <w:t xml:space="preserve">3.1 Methodology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61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Methodology ID, title, version</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Tools/modules applied</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2"/>
      </w:pPr>
      <w:r>
        <w:t xml:space="preserve">3.2 Implementation Status of the Project Activity</w:t>
      </w:r>
    </w:p>
    <w:p>
      <w:pPr>
        <w:spacing w:after="140"/>
        <w:jc w:val="both"/>
      </w:pPr>
      <w:r>
        <w:rPr>
          <w:i/>
          <w:iCs/>
          <w:color w:val="7F7F7F"/>
          <w:sz w:val="20"/>
          <w:szCs w:val="20"/>
        </w:rPr>
        <w:t xml:space="preserve">Describe operational status through the period: capacity, availability, downtime, equipment replacements, and deviations from the registered project description.</w:t>
      </w:r>
    </w:p>
    <w:p>
      <w:pPr>
        <w:spacing w:after="200"/>
      </w:pPr>
      <w:r>
        <w:rPr>
          <w:color w:val="2E6E7E"/>
          <w:sz w:val="22"/>
          <w:szCs w:val="22"/>
        </w:rPr>
        <w:t xml:space="preserve">[Response]</w:t>
      </w:r>
    </w:p>
    <w:p>
      <w:pPr>
        <w:pStyle w:val="Heading2"/>
      </w:pPr>
      <w:r>
        <w:t xml:space="preserve">3.3 Loss and Reversal Events</w:t>
      </w:r>
    </w:p>
    <w:p>
      <w:pPr>
        <w:spacing w:after="140"/>
        <w:jc w:val="both"/>
      </w:pPr>
      <w:r>
        <w:rPr>
          <w:i/>
          <w:iCs/>
          <w:color w:val="7F7F7F"/>
          <w:sz w:val="20"/>
          <w:szCs w:val="20"/>
        </w:rPr>
        <w:t xml:space="preserve">Report any loss or reversal event. Nature-based projects: quantify reversed tonnes; Buffer Pool compensation applies under Rulebook 10.2. Non-nature-based storage projects: quantify any storage reversal and state the replacement plan and timeline under Rulebook 10.2A (12-month replacement obligation). State "None" if no event occurred.</w:t>
      </w:r>
    </w:p>
    <w:p>
      <w:pPr>
        <w:spacing w:after="200"/>
      </w:pPr>
      <w:r>
        <w:rPr>
          <w:color w:val="2E6E7E"/>
          <w:sz w:val="22"/>
          <w:szCs w:val="22"/>
        </w:rPr>
        <w:t xml:space="preserve">[Response]</w:t>
      </w:r>
    </w:p>
    <w:p>
      <w:pPr>
        <w:pStyle w:val="Heading2"/>
      </w:pPr>
      <w:r>
        <w:t xml:space="preserve">3.4 Grouped Projects — New Instances</w:t>
      </w:r>
    </w:p>
    <w:p>
      <w:pPr>
        <w:spacing w:after="140"/>
        <w:jc w:val="both"/>
      </w:pPr>
      <w:r>
        <w:rPr>
          <w:i/>
          <w:iCs/>
          <w:color w:val="7F7F7F"/>
          <w:sz w:val="20"/>
          <w:szCs w:val="20"/>
        </w:rPr>
        <w:t xml:space="preserve">List instances added during the period and justify conformance with the grouped-project eligibility criteria in the registered project description.</w:t>
      </w:r>
    </w:p>
    <w:p>
      <w:pPr>
        <w:spacing w:after="200"/>
      </w:pPr>
      <w:r>
        <w:rPr>
          <w:color w:val="2E6E7E"/>
          <w:sz w:val="22"/>
          <w:szCs w:val="22"/>
        </w:rPr>
        <w:t xml:space="preserve">[Response]</w:t>
      </w:r>
    </w:p>
    <w:p>
      <w:pPr>
        <w:pStyle w:val="Heading2"/>
      </w:pPr>
      <w:r>
        <w:t xml:space="preserve">3.5 Deviations</w:t>
      </w:r>
    </w:p>
    <w:p>
      <w:pPr>
        <w:spacing w:after="140"/>
        <w:jc w:val="both"/>
      </w:pPr>
      <w:r>
        <w:rPr>
          <w:i/>
          <w:iCs/>
          <w:color w:val="7F7F7F"/>
          <w:sz w:val="20"/>
          <w:szCs w:val="20"/>
        </w:rPr>
        <w:t xml:space="preserve">Describe and justify any monitoring or measurement deviation applied during this period, demonstrating no loss of conservativeness. Deviations to applicability, baseline, additionality or quantification methods are not permitted (Rulebook / CERT-TMP-001 §3.6).</w:t>
      </w:r>
    </w:p>
    <w:p>
      <w:pPr>
        <w:spacing w:after="200"/>
      </w:pPr>
      <w:r>
        <w:rPr>
          <w:color w:val="2E6E7E"/>
          <w:sz w:val="22"/>
          <w:szCs w:val="22"/>
        </w:rPr>
        <w:t xml:space="preserve">[Response]</w:t>
      </w:r>
    </w:p>
    <w:p>
      <w:pPr>
        <w:pStyle w:val="Heading2"/>
      </w:pPr>
      <w:r>
        <w:t xml:space="preserve">3.6 Baseline Reassessment</w:t>
      </w:r>
    </w:p>
    <w:p>
      <w:pPr>
        <w:spacing w:after="140"/>
        <w:jc w:val="both"/>
      </w:pPr>
      <w:r>
        <w:rPr>
          <w:i/>
          <w:iCs/>
          <w:color w:val="7F7F7F"/>
          <w:sz w:val="20"/>
          <w:szCs w:val="20"/>
        </w:rPr>
        <w:t xml:space="preserve">Where this report accompanies a crediting period renewal, present the baseline reassessment against the current methodology version (Rulebook 3.1, 5.3); otherwise state "Not applicable — within crediting period".</w:t>
      </w:r>
    </w:p>
    <w:p>
      <w:pPr>
        <w:spacing w:after="200"/>
      </w:pPr>
      <w:r>
        <w:rPr>
          <w:color w:val="2E6E7E"/>
          <w:sz w:val="22"/>
          <w:szCs w:val="22"/>
        </w:rPr>
        <w:t xml:space="preserve">[Response]</w:t>
      </w:r>
    </w:p>
    <w:p>
      <w:pPr>
        <w:pStyle w:val="Heading1"/>
        <w:pageBreakBefore/>
      </w:pPr>
      <w:r>
        <w:t xml:space="preserve">4. Monitoring</w:t>
      </w:r>
    </w:p>
    <w:p>
      <w:pPr>
        <w:pStyle w:val="Heading2"/>
      </w:pPr>
      <w:r>
        <w:t xml:space="preserve">4.1 Data and Parameters</w:t>
      </w:r>
    </w:p>
    <w:p>
      <w:pPr>
        <w:spacing w:after="140"/>
        <w:jc w:val="both"/>
      </w:pPr>
      <w:r>
        <w:rPr>
          <w:i/>
          <w:iCs/>
          <w:color w:val="7F7F7F"/>
          <w:sz w:val="20"/>
          <w:szCs w:val="20"/>
        </w:rPr>
        <w:t xml:space="preserve">Complete Appendix 2 for all parameters monitored in this period. Summarise key monitored values and compare with the values assumed at validation.</w:t>
      </w:r>
    </w:p>
    <w:p>
      <w:pPr>
        <w:spacing w:after="200"/>
      </w:pPr>
      <w:r>
        <w:rPr>
          <w:color w:val="2E6E7E"/>
          <w:sz w:val="22"/>
          <w:szCs w:val="22"/>
        </w:rPr>
        <w:t xml:space="preserve">[Response]</w:t>
      </w:r>
    </w:p>
    <w:p>
      <w:pPr>
        <w:pStyle w:val="Heading2"/>
      </w:pPr>
      <w:r>
        <w:t xml:space="preserve">4.2 Monitoring Plan Implementation</w:t>
      </w:r>
    </w:p>
    <w:p>
      <w:pPr>
        <w:spacing w:after="140"/>
        <w:jc w:val="both"/>
      </w:pPr>
      <w:r>
        <w:rPr>
          <w:i/>
          <w:iCs/>
          <w:color w:val="7F7F7F"/>
          <w:sz w:val="20"/>
          <w:szCs w:val="20"/>
        </w:rPr>
        <w:t xml:space="preserve">Describe how the registered monitoring plan was implemented: responsibilities, equipment and calibrations performed, digital MRV data feeds, QA/QC executed, data gaps encountered and the conservative gap-filling methods applied.</w:t>
      </w:r>
    </w:p>
    <w:p>
      <w:pPr>
        <w:spacing w:after="200"/>
      </w:pPr>
      <w:r>
        <w:rPr>
          <w:color w:val="2E6E7E"/>
          <w:sz w:val="22"/>
          <w:szCs w:val="22"/>
        </w:rPr>
        <w:t xml:space="preserve">[Response]</w:t>
      </w:r>
    </w:p>
    <w:p>
      <w:pPr>
        <w:pStyle w:val="Heading1"/>
        <w:pageBreakBefore/>
      </w:pPr>
      <w:r>
        <w:t xml:space="preserve">5. Quantification of Achieved GHG Emission Reductions and Removals</w:t>
      </w:r>
    </w:p>
    <w:p>
      <w:pPr>
        <w:pStyle w:val="Heading2"/>
      </w:pPr>
      <w:r>
        <w:t xml:space="preserve">5.1 Baseline Emissions</w:t>
      </w:r>
    </w:p>
    <w:p>
      <w:pPr>
        <w:spacing w:after="200"/>
      </w:pPr>
      <w:r>
        <w:rPr>
          <w:color w:val="2E6E7E"/>
          <w:sz w:val="22"/>
          <w:szCs w:val="22"/>
        </w:rPr>
        <w:t xml:space="preserve">[Response]</w:t>
      </w:r>
    </w:p>
    <w:p>
      <w:pPr>
        <w:pStyle w:val="Heading2"/>
      </w:pPr>
      <w:r>
        <w:t xml:space="preserve">5.2 Project Emissions</w:t>
      </w:r>
    </w:p>
    <w:p>
      <w:pPr>
        <w:spacing w:after="200"/>
      </w:pPr>
      <w:r>
        <w:rPr>
          <w:color w:val="2E6E7E"/>
          <w:sz w:val="22"/>
          <w:szCs w:val="22"/>
        </w:rPr>
        <w:t xml:space="preserve">[Response]</w:t>
      </w:r>
    </w:p>
    <w:p>
      <w:pPr>
        <w:pStyle w:val="Heading2"/>
      </w:pPr>
      <w:r>
        <w:t xml:space="preserve">5.3 Leakage</w:t>
      </w:r>
    </w:p>
    <w:p>
      <w:pPr>
        <w:spacing w:after="200"/>
      </w:pPr>
      <w:r>
        <w:rPr>
          <w:color w:val="2E6E7E"/>
          <w:sz w:val="22"/>
          <w:szCs w:val="22"/>
        </w:rPr>
        <w:t xml:space="preserve">[Response]</w:t>
      </w:r>
    </w:p>
    <w:p>
      <w:pPr>
        <w:pStyle w:val="Heading2"/>
      </w:pPr>
      <w:r>
        <w:t xml:space="preserve">5.4 Uncertainty and Conservativeness Applied</w:t>
      </w:r>
    </w:p>
    <w:p>
      <w:pPr>
        <w:spacing w:after="140"/>
        <w:jc w:val="both"/>
      </w:pPr>
      <w:r>
        <w:rPr>
          <w:i/>
          <w:iCs/>
          <w:color w:val="7F7F7F"/>
          <w:sz w:val="20"/>
          <w:szCs w:val="20"/>
        </w:rPr>
        <w:t xml:space="preserve">State the uncertainty treatment and any conservativeness discounts applied in this period’s calculations (Rulebook 5.3).</w:t>
      </w:r>
    </w:p>
    <w:p>
      <w:pPr>
        <w:spacing w:after="200"/>
      </w:pPr>
      <w:r>
        <w:rPr>
          <w:color w:val="2E6E7E"/>
          <w:sz w:val="22"/>
          <w:szCs w:val="22"/>
        </w:rPr>
        <w:t xml:space="preserve">[Response]</w:t>
      </w:r>
    </w:p>
    <w:p>
      <w:pPr>
        <w:pStyle w:val="Heading2"/>
      </w:pPr>
      <w:r>
        <w:t xml:space="preserve">5.5 Net Achieved CRUs Claimed</w:t>
      </w:r>
    </w:p>
    <w:p>
      <w:pPr>
        <w:spacing w:after="140"/>
        <w:jc w:val="both"/>
      </w:pPr>
      <w:r>
        <w:rPr>
          <w:i/>
          <w:iCs/>
          <w:color w:val="7F7F7F"/>
          <w:sz w:val="20"/>
          <w:szCs w:val="20"/>
        </w:rPr>
        <w:t xml:space="preserve">Fill out the table by vintage year, and explain material differences (&gt;10%) from ex-ante estimates.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650"/>
        <w:gridCol w:w="1650"/>
        <w:gridCol w:w="1650"/>
        <w:gridCol w:w="1610"/>
        <w:gridCol w:w="1300"/>
      </w:tblGrid>
      <w:tr>
        <w:tc>
          <w:tcPr>
            <w:tcW w:type="dxa" w:w="15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Vintage year</w:t>
            </w:r>
          </w:p>
        </w:tc>
        <w:tc>
          <w:tcPr>
            <w:tcW w:type="dxa" w:w="16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Baseline (tCO2e)</w:t>
            </w:r>
          </w:p>
        </w:tc>
        <w:tc>
          <w:tcPr>
            <w:tcW w:type="dxa" w:w="16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Project (tCO2e)</w:t>
            </w:r>
          </w:p>
        </w:tc>
        <w:tc>
          <w:tcPr>
            <w:tcW w:type="dxa" w:w="16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Leakage (tCO2e)</w:t>
            </w:r>
          </w:p>
        </w:tc>
        <w:tc>
          <w:tcPr>
            <w:tcW w:type="dxa" w:w="161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Buffer deduction</w:t>
            </w:r>
          </w:p>
        </w:tc>
        <w:tc>
          <w:tcPr>
            <w:tcW w:type="dxa" w:w="13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Net CRUs claimed</w:t>
            </w:r>
          </w:p>
        </w:tc>
      </w:tr>
      <w:tr>
        <w:tc>
          <w:tcPr>
            <w:tcW w:type="dxa" w:w="1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[YYYY]</w:t>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[NBS only]</w:t>
            </w:r>
          </w:p>
        </w:tc>
        <w:tc>
          <w:tcPr>
            <w:tcW w:type="dxa" w:w="1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Total</w:t>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1: Sensitive Information</w:t>
      </w:r>
    </w:p>
    <w:p>
      <w:pPr>
        <w:spacing w:after="140"/>
        <w:jc w:val="both"/>
      </w:pPr>
      <w:r>
        <w:rPr>
          <w:i/>
          <w:iCs/>
          <w:color w:val="7F7F7F"/>
          <w:sz w:val="20"/>
          <w:szCs w:val="20"/>
        </w:rPr>
        <w:t xml:space="preserve">Commercially sensitive material required for verification, with justification for confidential treatment (transparency remains the default; see CERT-TMP-001 Appendix 1).</w:t>
      </w:r>
    </w:p>
    <w:p>
      <w:pPr>
        <w:spacing w:after="200"/>
      </w:pPr>
      <w:r>
        <w:rPr>
          <w:color w:val="2E6E7E"/>
          <w:sz w:val="22"/>
          <w:szCs w:val="22"/>
        </w:rPr>
        <w:t xml:space="preserve">[Response]</w:t>
      </w:r>
    </w:p>
    <w:p>
      <w:pPr>
        <w:pStyle w:val="Heading1"/>
        <w:pageBreakBefore/>
      </w:pPr>
      <w:r>
        <w:t xml:space="preserve">Appendix 2: Data and Parameters Monitored</w:t>
      </w:r>
    </w:p>
    <w:p>
      <w:pPr>
        <w:spacing w:after="140"/>
        <w:jc w:val="both"/>
      </w:pPr>
      <w:r>
        <w:rPr>
          <w:i/>
          <w:iCs/>
          <w:color w:val="7F7F7F"/>
          <w:sz w:val="20"/>
          <w:szCs w:val="20"/>
        </w:rPr>
        <w:t xml:space="preserve">One block per monitored parameter.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5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Parameter ID / unit</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Description</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Measured values this period</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Measurement method / equipment / calibration date</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Monitoring frequency</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QA/QC applied</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Deviations / data gaps and treatment</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4" w:space="4"/>
      </w:pBdr>
      <w:tabs>
        <w:tab w:val="right" w:pos="9026"/>
      </w:tabs>
    </w:pPr>
    <w:r>
      <w:drawing>
        <wp:inline distT="0" distB="0" distL="0" distR="0">
          <wp:extent cx="828675" cy="257175"/>
          <wp:effectExtent t="0" r="0" b="0" l="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Monitoring Report Template</w:t>
    </w:r>
    <w:r>
      <w:rPr>
        <w:color w:val="666666"/>
        <w:sz w:val="18"/>
        <w:szCs w:val="18"/>
      </w:rPr>
      <w:t xml:space="preserve">	CERT-TMP-003 · v1.0 · Public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00"/>
      <w:outlineLvl w:val="0"/>
    </w:pPr>
    <w:rPr>
      <w:rFonts w:ascii="Arial" w:cs="Arial" w:eastAsia="Arial" w:hAnsi="Arial"/>
      <w:b/>
      <w:bCs/>
      <w:color w:val="1F4E5F"/>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E6E7E"/>
      <w:sz w:val="26"/>
      <w:szCs w:val="26"/>
    </w:rPr>
  </w:style>
  <w:style w:type="paragraph" w:styleId="Heading3">
    <w:name w:val="Heading 3"/>
    <w:basedOn w:val="Normal"/>
    <w:next w:val="Normal"/>
    <w:qFormat/>
    <w:pPr>
      <w:spacing w:after="120" w:before="20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880dc010f357a0c444a28c993e7e0d3d567bd1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2026-07-02T18:58:45.688Z</dcterms:created>
  <dcterms:modified xsi:type="dcterms:W3CDTF">2026-07-02T18:58:45.693Z</dcterms:modified>
</cp:coreProperties>
</file>

<file path=docProps/custom.xml><?xml version="1.0" encoding="utf-8"?>
<Properties xmlns="http://schemas.openxmlformats.org/officeDocument/2006/custom-properties" xmlns:vt="http://schemas.openxmlformats.org/officeDocument/2006/docPropsVTypes"/>
</file>