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24DE" w:rsidRPr="0052515A" w:rsidRDefault="006824DE">
      <w:pPr>
        <w:spacing w:before="2400"/>
        <w:rPr>
          <w:color w:val="000000" w:themeColor="text1"/>
        </w:rPr>
      </w:pPr>
    </w:p>
    <w:p w:rsidR="006824DE" w:rsidRPr="0052515A" w:rsidRDefault="00000000">
      <w:pPr>
        <w:jc w:val="center"/>
        <w:rPr>
          <w:color w:val="000000" w:themeColor="text1"/>
        </w:rPr>
      </w:pPr>
      <w:r w:rsidRPr="0052515A">
        <w:rPr>
          <w:b/>
          <w:bCs/>
          <w:color w:val="000000" w:themeColor="text1"/>
          <w:sz w:val="72"/>
          <w:szCs w:val="72"/>
        </w:rPr>
        <w:t>CERT</w:t>
      </w:r>
    </w:p>
    <w:p w:rsidR="006824DE" w:rsidRPr="0052515A" w:rsidRDefault="00000000">
      <w:pPr>
        <w:spacing w:after="400"/>
        <w:jc w:val="center"/>
        <w:rPr>
          <w:color w:val="000000" w:themeColor="text1"/>
        </w:rPr>
      </w:pPr>
      <w:r w:rsidRPr="0052515A">
        <w:rPr>
          <w:color w:val="000000" w:themeColor="text1"/>
          <w:sz w:val="32"/>
          <w:szCs w:val="32"/>
        </w:rPr>
        <w:t>Certified Emissions Reduction Technologies Foundation</w:t>
      </w:r>
    </w:p>
    <w:p w:rsidR="006824DE" w:rsidRPr="0052515A" w:rsidRDefault="00000000">
      <w:pPr>
        <w:spacing w:before="1200"/>
        <w:jc w:val="center"/>
        <w:rPr>
          <w:color w:val="000000" w:themeColor="text1"/>
        </w:rPr>
      </w:pPr>
      <w:r w:rsidRPr="0052515A">
        <w:rPr>
          <w:b/>
          <w:bCs/>
          <w:color w:val="000000" w:themeColor="text1"/>
          <w:sz w:val="44"/>
          <w:szCs w:val="44"/>
        </w:rPr>
        <w:t>VVB MASTER SERVICES AGREEMENT</w:t>
      </w:r>
    </w:p>
    <w:p w:rsidR="006824DE" w:rsidRPr="0052515A" w:rsidRDefault="00000000">
      <w:pPr>
        <w:spacing w:after="1600"/>
        <w:jc w:val="center"/>
        <w:rPr>
          <w:color w:val="000000" w:themeColor="text1"/>
        </w:rPr>
      </w:pPr>
      <w:r w:rsidRPr="0052515A">
        <w:rPr>
          <w:i/>
          <w:iCs/>
          <w:color w:val="000000" w:themeColor="text1"/>
          <w:sz w:val="26"/>
          <w:szCs w:val="26"/>
        </w:rPr>
        <w:t>Master Agreement Governing Approved Validation and Verification Bodies in the CERT Programme</w:t>
      </w:r>
    </w:p>
    <w:p w:rsidR="006824DE" w:rsidRPr="0052515A" w:rsidRDefault="00000000">
      <w:pPr>
        <w:jc w:val="center"/>
        <w:rPr>
          <w:color w:val="000000" w:themeColor="text1"/>
        </w:rPr>
      </w:pPr>
      <w:r w:rsidRPr="0052515A">
        <w:rPr>
          <w:color w:val="000000" w:themeColor="text1"/>
        </w:rPr>
        <w:t>Document ID: CERT-LGL-003</w:t>
      </w:r>
    </w:p>
    <w:p w:rsidR="006824DE" w:rsidRPr="0052515A" w:rsidRDefault="00000000">
      <w:pPr>
        <w:jc w:val="center"/>
        <w:rPr>
          <w:color w:val="000000" w:themeColor="text1"/>
        </w:rPr>
      </w:pPr>
      <w:r w:rsidRPr="0052515A">
        <w:rPr>
          <w:color w:val="000000" w:themeColor="text1"/>
        </w:rPr>
        <w:t xml:space="preserve">Version 1.0 </w:t>
      </w:r>
    </w:p>
    <w:p w:rsidR="006824DE" w:rsidRPr="0052515A" w:rsidRDefault="00000000">
      <w:pPr>
        <w:jc w:val="center"/>
        <w:rPr>
          <w:color w:val="000000" w:themeColor="text1"/>
        </w:rPr>
      </w:pPr>
      <w:r w:rsidRPr="0052515A">
        <w:rPr>
          <w:color w:val="000000" w:themeColor="text1"/>
        </w:rPr>
        <w:t>Date: 2 July 2026</w:t>
      </w:r>
    </w:p>
    <w:p w:rsidR="006824DE" w:rsidRPr="0052515A" w:rsidRDefault="00000000">
      <w:pPr>
        <w:jc w:val="center"/>
        <w:rPr>
          <w:color w:val="000000" w:themeColor="text1"/>
        </w:rPr>
      </w:pPr>
      <w:r w:rsidRPr="0052515A">
        <w:rPr>
          <w:color w:val="000000" w:themeColor="text1"/>
        </w:rPr>
        <w:t>Classification: Public</w:t>
      </w:r>
    </w:p>
    <w:p w:rsidR="006824DE" w:rsidRPr="0052515A" w:rsidRDefault="00000000">
      <w:pPr>
        <w:rPr>
          <w:color w:val="000000" w:themeColor="text1"/>
        </w:rPr>
      </w:pPr>
      <w:r w:rsidRPr="0052515A">
        <w:rPr>
          <w:color w:val="000000" w:themeColor="text1"/>
        </w:rPr>
        <w:br w:type="page"/>
      </w:r>
    </w:p>
    <w:p w:rsidR="006824DE" w:rsidRPr="0052515A" w:rsidRDefault="00000000">
      <w:pPr>
        <w:pStyle w:val="Heading2"/>
        <w:rPr>
          <w:color w:val="000000" w:themeColor="text1"/>
        </w:rPr>
      </w:pPr>
      <w:r w:rsidRPr="0052515A">
        <w:rPr>
          <w:color w:val="000000" w:themeColor="text1"/>
        </w:rPr>
        <w:lastRenderedPageBreak/>
        <w:t>Document Control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52515A" w:rsidRPr="0052515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6824DE" w:rsidRPr="0052515A" w:rsidRDefault="00000000">
            <w:pPr>
              <w:rPr>
                <w:color w:val="000000" w:themeColor="text1"/>
              </w:rPr>
            </w:pPr>
            <w:r w:rsidRPr="0052515A">
              <w:rPr>
                <w:b/>
                <w:bCs/>
                <w:color w:val="000000" w:themeColor="text1"/>
                <w:sz w:val="20"/>
                <w:szCs w:val="20"/>
              </w:rPr>
              <w:t>Field</w:t>
            </w:r>
          </w:p>
        </w:tc>
        <w:tc>
          <w:tcPr>
            <w:tcW w:w="67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6824DE" w:rsidRPr="0052515A" w:rsidRDefault="00000000">
            <w:pPr>
              <w:rPr>
                <w:color w:val="000000" w:themeColor="text1"/>
              </w:rPr>
            </w:pPr>
            <w:r w:rsidRPr="0052515A">
              <w:rPr>
                <w:b/>
                <w:bCs/>
                <w:color w:val="000000" w:themeColor="text1"/>
                <w:sz w:val="20"/>
                <w:szCs w:val="20"/>
              </w:rPr>
              <w:t>Detail</w:t>
            </w:r>
          </w:p>
        </w:tc>
      </w:tr>
      <w:tr w:rsidR="0052515A" w:rsidRPr="0052515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Document ID</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CERT-LGL-003</w:t>
            </w:r>
          </w:p>
        </w:tc>
      </w:tr>
      <w:tr w:rsidR="0052515A" w:rsidRPr="0052515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Title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CERT VVB Master Services Agreement</w:t>
            </w:r>
          </w:p>
        </w:tc>
      </w:tr>
      <w:tr w:rsidR="0052515A" w:rsidRPr="0052515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Version</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 xml:space="preserve">1.0 </w:t>
            </w:r>
          </w:p>
        </w:tc>
      </w:tr>
      <w:tr w:rsidR="0052515A" w:rsidRPr="0052515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Status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52515A">
            <w:pPr>
              <w:rPr>
                <w:color w:val="000000" w:themeColor="text1"/>
              </w:rPr>
            </w:pPr>
            <w:r w:rsidRPr="0052515A">
              <w:rPr>
                <w:color w:val="000000" w:themeColor="text1"/>
                <w:sz w:val="20"/>
                <w:szCs w:val="20"/>
              </w:rPr>
              <w:t>Approved</w:t>
            </w:r>
          </w:p>
        </w:tc>
      </w:tr>
      <w:tr w:rsidR="0052515A" w:rsidRPr="0052515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Owner</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General Counsel</w:t>
            </w:r>
          </w:p>
        </w:tc>
      </w:tr>
      <w:tr w:rsidR="0052515A" w:rsidRPr="0052515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Approver</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Chief Executive, with Standards Committee notification</w:t>
            </w:r>
          </w:p>
        </w:tc>
      </w:tr>
      <w:tr w:rsidR="0052515A" w:rsidRPr="0052515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Review cycle</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Upon material change to the Rulebook or Accreditation Manual</w:t>
            </w:r>
          </w:p>
        </w:tc>
      </w:tr>
      <w:tr w:rsidR="0052515A" w:rsidRPr="0052515A">
        <w:tblPrEx>
          <w:tblCellMar>
            <w:top w:w="0" w:type="dxa"/>
            <w:bottom w:w="0" w:type="dxa"/>
          </w:tblCellMar>
        </w:tblPrEx>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Related documents</w:t>
            </w:r>
          </w:p>
        </w:tc>
        <w:tc>
          <w:tcPr>
            <w:tcW w:w="67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CERT-REG-001 (Section 6); CERT-REG-006 (planned); CERT-REG-008 (planned); CERT-FRM-001; CERT-TMP-004/005</w:t>
            </w:r>
          </w:p>
        </w:tc>
      </w:tr>
    </w:tbl>
    <w:p w:rsidR="006824DE" w:rsidRPr="0052515A" w:rsidRDefault="006824DE">
      <w:pPr>
        <w:spacing w:before="240"/>
        <w:rPr>
          <w:color w:val="000000" w:themeColor="text1"/>
        </w:rPr>
      </w:pPr>
    </w:p>
    <w:p w:rsidR="006824DE" w:rsidRPr="0052515A" w:rsidRDefault="00000000">
      <w:pPr>
        <w:pStyle w:val="Heading2"/>
        <w:rPr>
          <w:color w:val="000000" w:themeColor="text1"/>
        </w:rPr>
      </w:pPr>
      <w:r w:rsidRPr="0052515A">
        <w:rPr>
          <w:color w:val="000000" w:themeColor="text1"/>
        </w:rPr>
        <w:t>Version History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1600"/>
        <w:gridCol w:w="2600"/>
        <w:gridCol w:w="3960"/>
      </w:tblGrid>
      <w:tr w:rsidR="0052515A" w:rsidRPr="0052515A">
        <w:tblPrEx>
          <w:tblCellMar>
            <w:top w:w="0" w:type="dxa"/>
            <w:bottom w:w="0" w:type="dxa"/>
          </w:tblCellMar>
        </w:tblPrEx>
        <w:tc>
          <w:tcPr>
            <w:tcW w:w="12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6824DE" w:rsidRPr="0052515A" w:rsidRDefault="00000000">
            <w:pPr>
              <w:rPr>
                <w:color w:val="000000" w:themeColor="text1"/>
              </w:rPr>
            </w:pPr>
            <w:r w:rsidRPr="0052515A">
              <w:rPr>
                <w:b/>
                <w:bCs/>
                <w:color w:val="000000" w:themeColor="text1"/>
                <w:sz w:val="20"/>
                <w:szCs w:val="20"/>
              </w:rPr>
              <w:t>Version</w:t>
            </w:r>
          </w:p>
        </w:tc>
        <w:tc>
          <w:tcPr>
            <w:tcW w:w="1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6824DE" w:rsidRPr="0052515A" w:rsidRDefault="00000000">
            <w:pPr>
              <w:rPr>
                <w:color w:val="000000" w:themeColor="text1"/>
              </w:rPr>
            </w:pPr>
            <w:r w:rsidRPr="0052515A">
              <w:rPr>
                <w:b/>
                <w:bCs/>
                <w:color w:val="000000" w:themeColor="text1"/>
                <w:sz w:val="20"/>
                <w:szCs w:val="20"/>
              </w:rPr>
              <w:t>Date</w:t>
            </w:r>
          </w:p>
        </w:tc>
        <w:tc>
          <w:tcPr>
            <w:tcW w:w="26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6824DE" w:rsidRPr="0052515A" w:rsidRDefault="00000000">
            <w:pPr>
              <w:rPr>
                <w:color w:val="000000" w:themeColor="text1"/>
              </w:rPr>
            </w:pPr>
            <w:r w:rsidRPr="0052515A">
              <w:rPr>
                <w:b/>
                <w:bCs/>
                <w:color w:val="000000" w:themeColor="text1"/>
                <w:sz w:val="20"/>
                <w:szCs w:val="20"/>
              </w:rPr>
              <w:t>Author</w:t>
            </w:r>
          </w:p>
        </w:tc>
        <w:tc>
          <w:tcPr>
            <w:tcW w:w="39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6824DE" w:rsidRPr="0052515A" w:rsidRDefault="00000000">
            <w:pPr>
              <w:rPr>
                <w:color w:val="000000" w:themeColor="text1"/>
              </w:rPr>
            </w:pPr>
            <w:r w:rsidRPr="0052515A">
              <w:rPr>
                <w:b/>
                <w:bCs/>
                <w:color w:val="000000" w:themeColor="text1"/>
                <w:sz w:val="20"/>
                <w:szCs w:val="20"/>
              </w:rPr>
              <w:t>Description</w:t>
            </w:r>
          </w:p>
        </w:tc>
      </w:tr>
      <w:tr w:rsidR="0052515A" w:rsidRPr="0052515A">
        <w:tblPrEx>
          <w:tblCellMar>
            <w:top w:w="0" w:type="dxa"/>
            <w:bottom w:w="0" w:type="dxa"/>
          </w:tblCellMar>
        </w:tblPrEx>
        <w:tc>
          <w:tcPr>
            <w:tcW w:w="12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1.0</w:t>
            </w:r>
          </w:p>
        </w:tc>
        <w:tc>
          <w:tcPr>
            <w:tcW w:w="1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2026-07-02</w:t>
            </w:r>
          </w:p>
        </w:tc>
        <w:tc>
          <w:tcPr>
            <w:tcW w:w="26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CERT Founding Secretariat</w:t>
            </w:r>
          </w:p>
        </w:tc>
        <w:tc>
          <w:tcPr>
            <w:tcW w:w="3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Initial draft for founding Board review.</w:t>
            </w:r>
          </w:p>
        </w:tc>
      </w:tr>
    </w:tbl>
    <w:p w:rsidR="006824DE" w:rsidRPr="0052515A" w:rsidRDefault="00000000">
      <w:pPr>
        <w:rPr>
          <w:color w:val="000000" w:themeColor="text1"/>
        </w:rPr>
      </w:pPr>
      <w:r w:rsidRPr="0052515A">
        <w:rPr>
          <w:color w:val="000000" w:themeColor="text1"/>
        </w:rPr>
        <w:br w:type="page"/>
      </w:r>
    </w:p>
    <w:p w:rsidR="006824DE" w:rsidRPr="0052515A" w:rsidRDefault="00000000">
      <w:pPr>
        <w:pStyle w:val="Heading2"/>
        <w:rPr>
          <w:color w:val="000000" w:themeColor="text1"/>
        </w:rPr>
      </w:pPr>
      <w:r w:rsidRPr="0052515A">
        <w:rPr>
          <w:color w:val="000000" w:themeColor="text1"/>
        </w:rPr>
        <w:lastRenderedPageBreak/>
        <w:t>Table of Contents</w:t>
      </w:r>
    </w:p>
    <w:sdt>
      <w:sdtPr>
        <w:rPr>
          <w:color w:val="000000" w:themeColor="text1"/>
        </w:rPr>
        <w:alias w:val="Table of Contents"/>
        <w:id w:val="118580834"/>
      </w:sdtPr>
      <w:sdtContent>
        <w:p w:rsidR="006824DE" w:rsidRPr="0052515A" w:rsidRDefault="00000000">
          <w:pPr>
            <w:rPr>
              <w:color w:val="000000" w:themeColor="text1"/>
            </w:rPr>
          </w:pPr>
          <w:r w:rsidRPr="0052515A">
            <w:rPr>
              <w:color w:val="000000" w:themeColor="text1"/>
            </w:rPr>
            <w:fldChar w:fldCharType="begin"/>
          </w:r>
          <w:r w:rsidRPr="0052515A">
            <w:rPr>
              <w:color w:val="000000" w:themeColor="text1"/>
            </w:rPr>
            <w:instrText>TOC \h \o "1-2"</w:instrText>
          </w:r>
          <w:r w:rsidRPr="0052515A">
            <w:rPr>
              <w:color w:val="000000" w:themeColor="text1"/>
            </w:rPr>
            <w:fldChar w:fldCharType="separate"/>
          </w:r>
        </w:p>
        <w:p w:rsidR="006824DE" w:rsidRPr="0052515A" w:rsidRDefault="00000000">
          <w:pPr>
            <w:rPr>
              <w:color w:val="000000" w:themeColor="text1"/>
            </w:rPr>
          </w:pPr>
          <w:r w:rsidRPr="0052515A">
            <w:rPr>
              <w:color w:val="000000" w:themeColor="text1"/>
            </w:rPr>
            <w:fldChar w:fldCharType="end"/>
          </w:r>
        </w:p>
      </w:sdtContent>
    </w:sdt>
    <w:p w:rsidR="006824DE" w:rsidRPr="0052515A" w:rsidRDefault="00000000">
      <w:pPr>
        <w:pStyle w:val="Heading1"/>
        <w:pageBreakBefore/>
        <w:rPr>
          <w:color w:val="000000" w:themeColor="text1"/>
        </w:rPr>
      </w:pPr>
      <w:r w:rsidRPr="0052515A">
        <w:rPr>
          <w:color w:val="000000" w:themeColor="text1"/>
        </w:rPr>
        <w:lastRenderedPageBreak/>
        <w:t>Instructions (delete from executed version)</w:t>
      </w:r>
    </w:p>
    <w:p w:rsidR="006824DE" w:rsidRPr="0052515A" w:rsidRDefault="00000000">
      <w:pPr>
        <w:spacing w:after="140"/>
        <w:jc w:val="both"/>
        <w:rPr>
          <w:color w:val="000000" w:themeColor="text1"/>
        </w:rPr>
      </w:pPr>
      <w:r w:rsidRPr="0052515A">
        <w:rPr>
          <w:i/>
          <w:iCs/>
          <w:color w:val="000000" w:themeColor="text1"/>
          <w:sz w:val="20"/>
          <w:szCs w:val="20"/>
        </w:rPr>
        <w:t>This Master Services Agreement is executed between CERT and each validation/verification body upon approval under the CERT Accreditation Manual. It governs the VVB’s participation in the CERT programme; it does not create a client relationship for individual engagements, which VVBs contract directly with project proponents subject to the flow-down terms in Schedule C. Replace text in [square brackets]. This is a template; execution should follow review by counsel.</w:t>
      </w:r>
    </w:p>
    <w:p w:rsidR="006824DE" w:rsidRPr="0052515A" w:rsidRDefault="00000000">
      <w:pPr>
        <w:pStyle w:val="Heading1"/>
        <w:pageBreakBefore/>
        <w:rPr>
          <w:color w:val="000000" w:themeColor="text1"/>
        </w:rPr>
      </w:pPr>
      <w:r w:rsidRPr="0052515A">
        <w:rPr>
          <w:color w:val="000000" w:themeColor="text1"/>
        </w:rPr>
        <w:lastRenderedPageBreak/>
        <w:t>CERT VVB Master Services Agreement</w:t>
      </w:r>
    </w:p>
    <w:p w:rsidR="006824DE" w:rsidRPr="0052515A" w:rsidRDefault="00000000">
      <w:pPr>
        <w:spacing w:after="160"/>
        <w:jc w:val="both"/>
        <w:rPr>
          <w:color w:val="000000" w:themeColor="text1"/>
        </w:rPr>
      </w:pPr>
      <w:r w:rsidRPr="0052515A">
        <w:rPr>
          <w:color w:val="000000" w:themeColor="text1"/>
        </w:rPr>
        <w:t>THIS MASTER SERVICES AGREEMENT (the "Agreement") is made on [DATE]</w:t>
      </w:r>
    </w:p>
    <w:p w:rsidR="006824DE" w:rsidRPr="0052515A" w:rsidRDefault="00000000">
      <w:pPr>
        <w:spacing w:after="160"/>
        <w:jc w:val="both"/>
        <w:rPr>
          <w:color w:val="000000" w:themeColor="text1"/>
        </w:rPr>
      </w:pPr>
      <w:r w:rsidRPr="0052515A">
        <w:rPr>
          <w:color w:val="000000" w:themeColor="text1"/>
        </w:rPr>
        <w:t>BETWEEN:</w:t>
      </w:r>
    </w:p>
    <w:p w:rsidR="006824DE" w:rsidRPr="0052515A" w:rsidRDefault="00000000">
      <w:pPr>
        <w:spacing w:after="160"/>
        <w:jc w:val="both"/>
        <w:rPr>
          <w:color w:val="000000" w:themeColor="text1"/>
        </w:rPr>
      </w:pPr>
      <w:r w:rsidRPr="0052515A">
        <w:rPr>
          <w:b/>
          <w:bCs/>
          <w:color w:val="000000" w:themeColor="text1"/>
        </w:rPr>
        <w:t xml:space="preserve">(1) </w:t>
      </w:r>
      <w:r w:rsidRPr="0052515A">
        <w:rPr>
          <w:color w:val="000000" w:themeColor="text1"/>
        </w:rPr>
        <w:t>CERTIFIED EMISSIONS REDUCTION TECHNOLOGIES FOUNDATION, a not-for-profit foundation incorporated in India with registered office at [ADDRESS] ("CERT"); and</w:t>
      </w:r>
    </w:p>
    <w:p w:rsidR="006824DE" w:rsidRPr="0052515A" w:rsidRDefault="00000000">
      <w:pPr>
        <w:spacing w:after="160"/>
        <w:jc w:val="both"/>
        <w:rPr>
          <w:color w:val="000000" w:themeColor="text1"/>
        </w:rPr>
      </w:pPr>
      <w:r w:rsidRPr="0052515A">
        <w:rPr>
          <w:b/>
          <w:bCs/>
          <w:color w:val="000000" w:themeColor="text1"/>
        </w:rPr>
        <w:t xml:space="preserve">(2) </w:t>
      </w:r>
      <w:r w:rsidRPr="0052515A">
        <w:rPr>
          <w:color w:val="000000" w:themeColor="text1"/>
        </w:rPr>
        <w:t>[LEGAL NAME OF VVB], a [LEGAL FORM] incorporated in [JURISDICTION] with registered office at [ADDRESS] (the "VVB"),</w:t>
      </w:r>
    </w:p>
    <w:p w:rsidR="006824DE" w:rsidRPr="0052515A" w:rsidRDefault="00000000">
      <w:pPr>
        <w:spacing w:after="160"/>
        <w:jc w:val="both"/>
        <w:rPr>
          <w:color w:val="000000" w:themeColor="text1"/>
        </w:rPr>
      </w:pPr>
      <w:r w:rsidRPr="0052515A">
        <w:rPr>
          <w:color w:val="000000" w:themeColor="text1"/>
        </w:rPr>
        <w:t>each a "Party" and together the "Parties".</w:t>
      </w:r>
    </w:p>
    <w:p w:rsidR="006824DE" w:rsidRPr="0052515A" w:rsidRDefault="00000000">
      <w:pPr>
        <w:pStyle w:val="Heading2"/>
        <w:rPr>
          <w:color w:val="000000" w:themeColor="text1"/>
        </w:rPr>
      </w:pPr>
      <w:r w:rsidRPr="0052515A">
        <w:rPr>
          <w:color w:val="000000" w:themeColor="text1"/>
        </w:rPr>
        <w:t>Recitals</w:t>
      </w:r>
    </w:p>
    <w:p w:rsidR="006824DE" w:rsidRPr="0052515A" w:rsidRDefault="00000000">
      <w:pPr>
        <w:spacing w:after="160"/>
        <w:jc w:val="both"/>
        <w:rPr>
          <w:color w:val="000000" w:themeColor="text1"/>
        </w:rPr>
      </w:pPr>
      <w:r w:rsidRPr="0052515A">
        <w:rPr>
          <w:b/>
          <w:bCs/>
          <w:color w:val="000000" w:themeColor="text1"/>
        </w:rPr>
        <w:t xml:space="preserve">A. </w:t>
      </w:r>
      <w:r w:rsidRPr="0052515A">
        <w:rPr>
          <w:color w:val="000000" w:themeColor="text1"/>
        </w:rPr>
        <w:t>CERT operates a carbon crediting standard and registry under which Certified Reduction Units ("CRUs") are issued for independently validated and verified emission reductions and removals.</w:t>
      </w:r>
    </w:p>
    <w:p w:rsidR="006824DE" w:rsidRPr="0052515A" w:rsidRDefault="00000000">
      <w:pPr>
        <w:spacing w:after="160"/>
        <w:jc w:val="both"/>
        <w:rPr>
          <w:color w:val="000000" w:themeColor="text1"/>
        </w:rPr>
      </w:pPr>
      <w:r w:rsidRPr="0052515A">
        <w:rPr>
          <w:b/>
          <w:bCs/>
          <w:color w:val="000000" w:themeColor="text1"/>
        </w:rPr>
        <w:t xml:space="preserve">B. </w:t>
      </w:r>
      <w:r w:rsidRPr="0052515A">
        <w:rPr>
          <w:color w:val="000000" w:themeColor="text1"/>
        </w:rPr>
        <w:t>The VVB holds accreditation to ISO/IEC 17029:2019 and ISO 14065:2020 from an IAF-member accreditation body and has been approved by CERT for the sectoral scopes listed in Schedule A, following application under CERT-FRM-001.</w:t>
      </w:r>
    </w:p>
    <w:p w:rsidR="006824DE" w:rsidRPr="0052515A" w:rsidRDefault="00000000">
      <w:pPr>
        <w:spacing w:after="160"/>
        <w:jc w:val="both"/>
        <w:rPr>
          <w:color w:val="000000" w:themeColor="text1"/>
        </w:rPr>
      </w:pPr>
      <w:r w:rsidRPr="0052515A">
        <w:rPr>
          <w:b/>
          <w:bCs/>
          <w:color w:val="000000" w:themeColor="text1"/>
        </w:rPr>
        <w:t xml:space="preserve">C. </w:t>
      </w:r>
      <w:r w:rsidRPr="0052515A">
        <w:rPr>
          <w:color w:val="000000" w:themeColor="text1"/>
        </w:rPr>
        <w:t>This Agreement sets out the terms on which the VVB may perform validation and verification services in respect of projects under the CERT programme (the "Services").</w:t>
      </w:r>
    </w:p>
    <w:p w:rsidR="006824DE" w:rsidRPr="0052515A" w:rsidRDefault="00000000">
      <w:pPr>
        <w:pStyle w:val="Heading2"/>
        <w:rPr>
          <w:color w:val="000000" w:themeColor="text1"/>
        </w:rPr>
      </w:pPr>
      <w:r w:rsidRPr="0052515A">
        <w:rPr>
          <w:color w:val="000000" w:themeColor="text1"/>
        </w:rPr>
        <w:t>1. Definitions and Interpretation</w:t>
      </w:r>
    </w:p>
    <w:p w:rsidR="006824DE" w:rsidRPr="0052515A" w:rsidRDefault="00000000">
      <w:pPr>
        <w:spacing w:after="160"/>
        <w:jc w:val="both"/>
        <w:rPr>
          <w:color w:val="000000" w:themeColor="text1"/>
        </w:rPr>
      </w:pPr>
      <w:r w:rsidRPr="0052515A">
        <w:rPr>
          <w:b/>
          <w:bCs/>
          <w:color w:val="000000" w:themeColor="text1"/>
        </w:rPr>
        <w:t xml:space="preserve">1.1 </w:t>
      </w:r>
      <w:r w:rsidRPr="0052515A">
        <w:rPr>
          <w:color w:val="000000" w:themeColor="text1"/>
        </w:rPr>
        <w:t>"Operative Documents" means the CERT Registry Rulebook (CERT-REG-001), the Accreditation Manual (CERT-REG-006), applicable CERT methodologies, templates, the fee schedule (CERT-REG-008) and related CERT programme documents, each as amended and published from time to time. Capitalised terms not defined herein have the meanings given in the Operative Documents.</w:t>
      </w:r>
    </w:p>
    <w:p w:rsidR="006824DE" w:rsidRPr="0052515A" w:rsidRDefault="00000000">
      <w:pPr>
        <w:spacing w:after="160"/>
        <w:jc w:val="both"/>
        <w:rPr>
          <w:color w:val="000000" w:themeColor="text1"/>
        </w:rPr>
      </w:pPr>
      <w:r w:rsidRPr="0052515A">
        <w:rPr>
          <w:b/>
          <w:bCs/>
          <w:color w:val="000000" w:themeColor="text1"/>
        </w:rPr>
        <w:t xml:space="preserve">1.2 </w:t>
      </w:r>
      <w:r w:rsidRPr="0052515A">
        <w:rPr>
          <w:color w:val="000000" w:themeColor="text1"/>
        </w:rPr>
        <w:t>In the event of conflict, the order of precedence is: mandatory law; this Agreement; the Rulebook; the Accreditation Manual; other Operative Documents — except that provisions of the Operative Documents establishing integrity obligations are not diminished by anything in this Agreement.</w:t>
      </w:r>
    </w:p>
    <w:p w:rsidR="006824DE" w:rsidRPr="0052515A" w:rsidRDefault="00000000">
      <w:pPr>
        <w:pStyle w:val="Heading2"/>
        <w:rPr>
          <w:color w:val="000000" w:themeColor="text1"/>
        </w:rPr>
      </w:pPr>
      <w:r w:rsidRPr="0052515A">
        <w:rPr>
          <w:color w:val="000000" w:themeColor="text1"/>
        </w:rPr>
        <w:t>2. Approval and Scope</w:t>
      </w:r>
    </w:p>
    <w:p w:rsidR="006824DE" w:rsidRPr="0052515A" w:rsidRDefault="00000000">
      <w:pPr>
        <w:spacing w:after="160"/>
        <w:jc w:val="both"/>
        <w:rPr>
          <w:color w:val="000000" w:themeColor="text1"/>
        </w:rPr>
      </w:pPr>
      <w:r w:rsidRPr="0052515A">
        <w:rPr>
          <w:b/>
          <w:bCs/>
          <w:color w:val="000000" w:themeColor="text1"/>
        </w:rPr>
        <w:t xml:space="preserve">2.1 </w:t>
      </w:r>
      <w:r w:rsidRPr="0052515A">
        <w:rPr>
          <w:color w:val="000000" w:themeColor="text1"/>
        </w:rPr>
        <w:t>CERT approves the VVB to perform the Services within the sectoral scopes, activities and any conditions listed in Schedule A and on the public VVB register. The register entry is authoritative as updated from time to time.</w:t>
      </w:r>
    </w:p>
    <w:p w:rsidR="006824DE" w:rsidRPr="0052515A" w:rsidRDefault="00000000">
      <w:pPr>
        <w:spacing w:after="160"/>
        <w:jc w:val="both"/>
        <w:rPr>
          <w:color w:val="000000" w:themeColor="text1"/>
        </w:rPr>
      </w:pPr>
      <w:r w:rsidRPr="0052515A">
        <w:rPr>
          <w:b/>
          <w:bCs/>
          <w:color w:val="000000" w:themeColor="text1"/>
        </w:rPr>
        <w:t xml:space="preserve">2.2 </w:t>
      </w:r>
      <w:r w:rsidRPr="0052515A">
        <w:rPr>
          <w:color w:val="000000" w:themeColor="text1"/>
        </w:rPr>
        <w:t>This Agreement is non-exclusive. Nothing in it obliges CERT to direct engagements to the VVB, restricts CERT from approving other VVBs, or creates any partnership, joint venture, employment or agency between the Parties. The VVB shall not describe itself as acting for or on behalf of CERT.</w:t>
      </w:r>
    </w:p>
    <w:p w:rsidR="006824DE" w:rsidRPr="0052515A" w:rsidRDefault="00000000">
      <w:pPr>
        <w:pStyle w:val="Heading2"/>
        <w:rPr>
          <w:color w:val="000000" w:themeColor="text1"/>
        </w:rPr>
      </w:pPr>
      <w:r w:rsidRPr="0052515A">
        <w:rPr>
          <w:color w:val="000000" w:themeColor="text1"/>
        </w:rPr>
        <w:t>3. Standards of Performance</w:t>
      </w:r>
    </w:p>
    <w:p w:rsidR="006824DE" w:rsidRPr="0052515A" w:rsidRDefault="00000000">
      <w:pPr>
        <w:spacing w:after="160"/>
        <w:jc w:val="both"/>
        <w:rPr>
          <w:color w:val="000000" w:themeColor="text1"/>
        </w:rPr>
      </w:pPr>
      <w:r w:rsidRPr="0052515A">
        <w:rPr>
          <w:b/>
          <w:bCs/>
          <w:color w:val="000000" w:themeColor="text1"/>
        </w:rPr>
        <w:t xml:space="preserve">3.1 </w:t>
      </w:r>
      <w:r w:rsidRPr="0052515A">
        <w:rPr>
          <w:color w:val="000000" w:themeColor="text1"/>
        </w:rPr>
        <w:t xml:space="preserve">The VVB shall perform all Services: (a) in accordance with the Operative Documents, ISO 14064-3, and its ISO/IEC 17029 and ISO 14065 accreditation (with personnel competence per </w:t>
      </w:r>
      <w:r w:rsidRPr="0052515A">
        <w:rPr>
          <w:color w:val="000000" w:themeColor="text1"/>
        </w:rPr>
        <w:lastRenderedPageBreak/>
        <w:t>ISO 14066); (b) at the level of assurance and materiality required by Rulebook 6.4; (c) with professional scepticism and evidence-based judgement; and (d) using the current CERT report templates (including CERT-TMP-004 and CERT-TMP-005).</w:t>
      </w:r>
    </w:p>
    <w:p w:rsidR="006824DE" w:rsidRPr="0052515A" w:rsidRDefault="00000000">
      <w:pPr>
        <w:spacing w:after="160"/>
        <w:jc w:val="both"/>
        <w:rPr>
          <w:color w:val="000000" w:themeColor="text1"/>
        </w:rPr>
      </w:pPr>
      <w:r w:rsidRPr="0052515A">
        <w:rPr>
          <w:b/>
          <w:bCs/>
          <w:color w:val="000000" w:themeColor="text1"/>
        </w:rPr>
        <w:t xml:space="preserve">3.2 </w:t>
      </w:r>
      <w:r w:rsidRPr="0052515A">
        <w:rPr>
          <w:color w:val="000000" w:themeColor="text1"/>
        </w:rPr>
        <w:t>Duty of care. The Parties acknowledge Rulebook 6.3: in performing Services, the VVB owes its duty of care to CERT and the public interest in the integrity of CRUs, notwithstanding that engagement fees are paid by project proponents.</w:t>
      </w:r>
    </w:p>
    <w:p w:rsidR="006824DE" w:rsidRPr="0052515A" w:rsidRDefault="00000000">
      <w:pPr>
        <w:spacing w:after="160"/>
        <w:jc w:val="both"/>
        <w:rPr>
          <w:color w:val="000000" w:themeColor="text1"/>
        </w:rPr>
      </w:pPr>
      <w:r w:rsidRPr="0052515A">
        <w:rPr>
          <w:b/>
          <w:bCs/>
          <w:color w:val="000000" w:themeColor="text1"/>
        </w:rPr>
        <w:t xml:space="preserve">3.3 </w:t>
      </w:r>
      <w:r w:rsidRPr="0052515A">
        <w:rPr>
          <w:color w:val="000000" w:themeColor="text1"/>
        </w:rPr>
        <w:t>Financial additionality. Where the Services include validation, the VVB shall assess additionality solely by financial (investment) analysis under Rulebook 5.1–5.2, including reproduction of the financial model and verification of inputs, and shall not rely on barrier, common-practice or narrative demonstrations.</w:t>
      </w:r>
    </w:p>
    <w:p w:rsidR="006824DE" w:rsidRPr="0052515A" w:rsidRDefault="00000000">
      <w:pPr>
        <w:spacing w:after="160"/>
        <w:jc w:val="both"/>
        <w:rPr>
          <w:color w:val="000000" w:themeColor="text1"/>
        </w:rPr>
      </w:pPr>
      <w:r w:rsidRPr="0052515A">
        <w:rPr>
          <w:b/>
          <w:bCs/>
          <w:color w:val="000000" w:themeColor="text1"/>
        </w:rPr>
        <w:t xml:space="preserve">3.4 </w:t>
      </w:r>
      <w:r w:rsidRPr="0052515A">
        <w:rPr>
          <w:color w:val="000000" w:themeColor="text1"/>
        </w:rPr>
        <w:t>The VVB shall not subcontract any part of the Services except as permitted by its accreditation and the Accreditation Manual, and remains fully liable for subcontracted work.</w:t>
      </w:r>
    </w:p>
    <w:p w:rsidR="006824DE" w:rsidRPr="0052515A" w:rsidRDefault="00000000">
      <w:pPr>
        <w:pStyle w:val="Heading2"/>
        <w:rPr>
          <w:color w:val="000000" w:themeColor="text1"/>
        </w:rPr>
      </w:pPr>
      <w:r w:rsidRPr="0052515A">
        <w:rPr>
          <w:color w:val="000000" w:themeColor="text1"/>
        </w:rPr>
        <w:t>4. Accreditation Maintenance and Notification</w:t>
      </w:r>
    </w:p>
    <w:p w:rsidR="006824DE" w:rsidRPr="0052515A" w:rsidRDefault="00000000">
      <w:pPr>
        <w:spacing w:after="160"/>
        <w:jc w:val="both"/>
        <w:rPr>
          <w:color w:val="000000" w:themeColor="text1"/>
        </w:rPr>
      </w:pPr>
      <w:r w:rsidRPr="0052515A">
        <w:rPr>
          <w:b/>
          <w:bCs/>
          <w:color w:val="000000" w:themeColor="text1"/>
        </w:rPr>
        <w:t xml:space="preserve">4.1 </w:t>
      </w:r>
      <w:r w:rsidRPr="0052515A">
        <w:rPr>
          <w:color w:val="000000" w:themeColor="text1"/>
        </w:rPr>
        <w:t>The VVB shall maintain throughout the term: the accreditations in Recital B; the insurance in Clause 12; and the personnel competence declared in its application.</w:t>
      </w:r>
    </w:p>
    <w:p w:rsidR="006824DE" w:rsidRPr="0052515A" w:rsidRDefault="00000000">
      <w:pPr>
        <w:spacing w:after="160"/>
        <w:jc w:val="both"/>
        <w:rPr>
          <w:color w:val="000000" w:themeColor="text1"/>
        </w:rPr>
      </w:pPr>
      <w:r w:rsidRPr="0052515A">
        <w:rPr>
          <w:b/>
          <w:bCs/>
          <w:color w:val="000000" w:themeColor="text1"/>
        </w:rPr>
        <w:t xml:space="preserve">4.2 </w:t>
      </w:r>
      <w:r w:rsidRPr="0052515A">
        <w:rPr>
          <w:color w:val="000000" w:themeColor="text1"/>
        </w:rPr>
        <w:t>The VVB shall notify CERT in writing within 7 days of: suspension, reduction or withdrawal of any accreditation; sanctions by any GHG programme or regulator; change of control; insolvency events; or any fact making a statement in its application materially untrue. Suspension or withdrawal of ISO/IEC 17029 or ISO 14065 accreditation automatically suspends CERT approval to the same extent.</w:t>
      </w:r>
    </w:p>
    <w:p w:rsidR="006824DE" w:rsidRPr="0052515A" w:rsidRDefault="00000000">
      <w:pPr>
        <w:spacing w:after="160"/>
        <w:jc w:val="both"/>
        <w:rPr>
          <w:color w:val="000000" w:themeColor="text1"/>
        </w:rPr>
      </w:pPr>
      <w:r w:rsidRPr="0052515A">
        <w:rPr>
          <w:b/>
          <w:bCs/>
          <w:color w:val="000000" w:themeColor="text1"/>
        </w:rPr>
        <w:t xml:space="preserve">4.3 </w:t>
      </w:r>
      <w:r w:rsidRPr="0052515A">
        <w:rPr>
          <w:color w:val="000000" w:themeColor="text1"/>
        </w:rPr>
        <w:t>The VVB shall notify CERT of other material changes (key personnel, offices, ownership below control threshold) within 30 days.</w:t>
      </w:r>
    </w:p>
    <w:p w:rsidR="006824DE" w:rsidRPr="0052515A" w:rsidRDefault="00000000">
      <w:pPr>
        <w:pStyle w:val="Heading2"/>
        <w:rPr>
          <w:color w:val="000000" w:themeColor="text1"/>
        </w:rPr>
      </w:pPr>
      <w:r w:rsidRPr="0052515A">
        <w:rPr>
          <w:color w:val="000000" w:themeColor="text1"/>
        </w:rPr>
        <w:t>5. Impartiality and Conflicts of Interest</w:t>
      </w:r>
    </w:p>
    <w:p w:rsidR="006824DE" w:rsidRPr="0052515A" w:rsidRDefault="00000000">
      <w:pPr>
        <w:spacing w:after="160"/>
        <w:jc w:val="both"/>
        <w:rPr>
          <w:color w:val="000000" w:themeColor="text1"/>
        </w:rPr>
      </w:pPr>
      <w:r w:rsidRPr="0052515A">
        <w:rPr>
          <w:b/>
          <w:bCs/>
          <w:color w:val="000000" w:themeColor="text1"/>
        </w:rPr>
        <w:t xml:space="preserve">5.1 </w:t>
      </w:r>
      <w:r w:rsidRPr="0052515A">
        <w:rPr>
          <w:color w:val="000000" w:themeColor="text1"/>
        </w:rPr>
        <w:t>The VVB shall maintain the impartiality mechanism and conflict of interest policy submitted with its application, and shall comply with Rulebook 6.2 rotation limits.</w:t>
      </w:r>
    </w:p>
    <w:p w:rsidR="006824DE" w:rsidRPr="0052515A" w:rsidRDefault="00000000">
      <w:pPr>
        <w:spacing w:after="160"/>
        <w:jc w:val="both"/>
        <w:rPr>
          <w:color w:val="000000" w:themeColor="text1"/>
        </w:rPr>
      </w:pPr>
      <w:r w:rsidRPr="0052515A">
        <w:rPr>
          <w:b/>
          <w:bCs/>
          <w:color w:val="000000" w:themeColor="text1"/>
        </w:rPr>
        <w:t xml:space="preserve">5.2 </w:t>
      </w:r>
      <w:r w:rsidRPr="0052515A">
        <w:rPr>
          <w:color w:val="000000" w:themeColor="text1"/>
        </w:rPr>
        <w:t>The VVB shall not: (a) perform Services for any project it or a related entity designed, developed or advised; (b) accept fees contingent on the content of an opinion or on issuance volumes; (c) permit engagement personnel to hold financial interests in the proponent or the project’s CRUs; or (d) provide consultancy to an entity for which it performs Services, during and for 3 years after the engagement.</w:t>
      </w:r>
    </w:p>
    <w:p w:rsidR="006824DE" w:rsidRPr="0052515A" w:rsidRDefault="00000000">
      <w:pPr>
        <w:spacing w:after="160"/>
        <w:jc w:val="both"/>
        <w:rPr>
          <w:color w:val="000000" w:themeColor="text1"/>
        </w:rPr>
      </w:pPr>
      <w:r w:rsidRPr="0052515A">
        <w:rPr>
          <w:b/>
          <w:bCs/>
          <w:color w:val="000000" w:themeColor="text1"/>
        </w:rPr>
        <w:t xml:space="preserve">5.3 </w:t>
      </w:r>
      <w:r w:rsidRPr="0052515A">
        <w:rPr>
          <w:color w:val="000000" w:themeColor="text1"/>
        </w:rPr>
        <w:t>The VVB shall decline or withdraw from any engagement where a threat to impartiality cannot be eliminated or reduced to an acceptable level, and shall notify CERT of the circumstances.</w:t>
      </w:r>
    </w:p>
    <w:p w:rsidR="006824DE" w:rsidRPr="0052515A" w:rsidRDefault="00000000">
      <w:pPr>
        <w:pStyle w:val="Heading2"/>
        <w:rPr>
          <w:color w:val="000000" w:themeColor="text1"/>
        </w:rPr>
      </w:pPr>
      <w:r w:rsidRPr="0052515A">
        <w:rPr>
          <w:color w:val="000000" w:themeColor="text1"/>
        </w:rPr>
        <w:t>6. Engagements and Flow-Down Terms</w:t>
      </w:r>
    </w:p>
    <w:p w:rsidR="006824DE" w:rsidRPr="0052515A" w:rsidRDefault="00000000">
      <w:pPr>
        <w:spacing w:after="160"/>
        <w:jc w:val="both"/>
        <w:rPr>
          <w:color w:val="000000" w:themeColor="text1"/>
        </w:rPr>
      </w:pPr>
      <w:r w:rsidRPr="0052515A">
        <w:rPr>
          <w:b/>
          <w:bCs/>
          <w:color w:val="000000" w:themeColor="text1"/>
        </w:rPr>
        <w:t xml:space="preserve">6.1 </w:t>
      </w:r>
      <w:r w:rsidRPr="0052515A">
        <w:rPr>
          <w:color w:val="000000" w:themeColor="text1"/>
        </w:rPr>
        <w:t>The VVB contracts for engagements directly with project proponents. Every engagement contract shall incorporate the flow-down terms in Schedule C, including CERT’s observation and information rights and the proponent’s acknowledgement of Clause 3.2.</w:t>
      </w:r>
    </w:p>
    <w:p w:rsidR="006824DE" w:rsidRPr="0052515A" w:rsidRDefault="00000000">
      <w:pPr>
        <w:spacing w:after="160"/>
        <w:jc w:val="both"/>
        <w:rPr>
          <w:color w:val="000000" w:themeColor="text1"/>
        </w:rPr>
      </w:pPr>
      <w:r w:rsidRPr="0052515A">
        <w:rPr>
          <w:b/>
          <w:bCs/>
          <w:color w:val="000000" w:themeColor="text1"/>
        </w:rPr>
        <w:t xml:space="preserve">6.2 </w:t>
      </w:r>
      <w:r w:rsidRPr="0052515A">
        <w:rPr>
          <w:color w:val="000000" w:themeColor="text1"/>
        </w:rPr>
        <w:t>The VVB shall notify CERT of each CERT engagement upon acceptance, through the VVB portal, identifying the project, activity, team leader and technical reviewer.</w:t>
      </w:r>
    </w:p>
    <w:p w:rsidR="006824DE" w:rsidRPr="0052515A" w:rsidRDefault="00000000">
      <w:pPr>
        <w:pStyle w:val="Heading2"/>
        <w:rPr>
          <w:color w:val="000000" w:themeColor="text1"/>
        </w:rPr>
      </w:pPr>
      <w:r w:rsidRPr="0052515A">
        <w:rPr>
          <w:color w:val="000000" w:themeColor="text1"/>
        </w:rPr>
        <w:t>7. Oversight and Cooperation</w:t>
      </w:r>
    </w:p>
    <w:p w:rsidR="006824DE" w:rsidRPr="0052515A" w:rsidRDefault="00000000">
      <w:pPr>
        <w:spacing w:after="160"/>
        <w:jc w:val="both"/>
        <w:rPr>
          <w:color w:val="000000" w:themeColor="text1"/>
        </w:rPr>
      </w:pPr>
      <w:r w:rsidRPr="0052515A">
        <w:rPr>
          <w:b/>
          <w:bCs/>
          <w:color w:val="000000" w:themeColor="text1"/>
        </w:rPr>
        <w:lastRenderedPageBreak/>
        <w:t xml:space="preserve">7.1 </w:t>
      </w:r>
      <w:r w:rsidRPr="0052515A">
        <w:rPr>
          <w:color w:val="000000" w:themeColor="text1"/>
        </w:rPr>
        <w:t>The VVB shall cooperate with CERT oversight under the Rulebook and Accreditation Manual, including: performance monitoring; document requests; observation of audits (with reasonable notice); office assessments and witness audits; spot re-verification of up to 5% of verifications annually; and investigations under CERT integrity policies.</w:t>
      </w:r>
    </w:p>
    <w:p w:rsidR="006824DE" w:rsidRPr="0052515A" w:rsidRDefault="00000000">
      <w:pPr>
        <w:spacing w:after="160"/>
        <w:jc w:val="both"/>
        <w:rPr>
          <w:color w:val="000000" w:themeColor="text1"/>
        </w:rPr>
      </w:pPr>
      <w:r w:rsidRPr="0052515A">
        <w:rPr>
          <w:b/>
          <w:bCs/>
          <w:color w:val="000000" w:themeColor="text1"/>
        </w:rPr>
        <w:t xml:space="preserve">7.2 </w:t>
      </w:r>
      <w:r w:rsidRPr="0052515A">
        <w:rPr>
          <w:color w:val="000000" w:themeColor="text1"/>
        </w:rPr>
        <w:t>The VVB shall provide CERT unrestricted access to engagement files for CERT programme purposes, subject to Clause 9 confidentiality.</w:t>
      </w:r>
    </w:p>
    <w:p w:rsidR="006824DE" w:rsidRPr="0052515A" w:rsidRDefault="00000000">
      <w:pPr>
        <w:spacing w:after="160"/>
        <w:jc w:val="both"/>
        <w:rPr>
          <w:color w:val="000000" w:themeColor="text1"/>
        </w:rPr>
      </w:pPr>
      <w:r w:rsidRPr="0052515A">
        <w:rPr>
          <w:b/>
          <w:bCs/>
          <w:color w:val="000000" w:themeColor="text1"/>
        </w:rPr>
        <w:t xml:space="preserve">7.3 </w:t>
      </w:r>
      <w:r w:rsidRPr="0052515A">
        <w:rPr>
          <w:color w:val="000000" w:themeColor="text1"/>
        </w:rPr>
        <w:t>Sanctions for non-conformity or integrity breach are governed by Rulebook Section 13, including warning, conditions, suspension, and withdrawal of approval, with appeal rights under Rulebook Section 14.</w:t>
      </w:r>
    </w:p>
    <w:p w:rsidR="006824DE" w:rsidRPr="0052515A" w:rsidRDefault="00000000">
      <w:pPr>
        <w:pStyle w:val="Heading2"/>
        <w:rPr>
          <w:color w:val="000000" w:themeColor="text1"/>
        </w:rPr>
      </w:pPr>
      <w:r w:rsidRPr="0052515A">
        <w:rPr>
          <w:color w:val="000000" w:themeColor="text1"/>
        </w:rPr>
        <w:t>8. Fees</w:t>
      </w:r>
    </w:p>
    <w:p w:rsidR="006824DE" w:rsidRPr="0052515A" w:rsidRDefault="00000000">
      <w:pPr>
        <w:spacing w:after="160"/>
        <w:jc w:val="both"/>
        <w:rPr>
          <w:color w:val="000000" w:themeColor="text1"/>
        </w:rPr>
      </w:pPr>
      <w:r w:rsidRPr="0052515A">
        <w:rPr>
          <w:b/>
          <w:bCs/>
          <w:color w:val="000000" w:themeColor="text1"/>
        </w:rPr>
        <w:t xml:space="preserve">8.1 </w:t>
      </w:r>
      <w:r w:rsidRPr="0052515A">
        <w:rPr>
          <w:color w:val="000000" w:themeColor="text1"/>
        </w:rPr>
        <w:t>The VVB shall pay CERT the accreditation and annual fees in the fee schedule (CERT-REG-008). CERT does not share in, set, or receive commissions on the VVB’s engagement fees.</w:t>
      </w:r>
    </w:p>
    <w:p w:rsidR="006824DE" w:rsidRPr="0052515A" w:rsidRDefault="00000000">
      <w:pPr>
        <w:pStyle w:val="Heading2"/>
        <w:rPr>
          <w:color w:val="000000" w:themeColor="text1"/>
        </w:rPr>
      </w:pPr>
      <w:r w:rsidRPr="0052515A">
        <w:rPr>
          <w:color w:val="000000" w:themeColor="text1"/>
        </w:rPr>
        <w:t>9. Confidentiality, Data Protection and Transparency</w:t>
      </w:r>
    </w:p>
    <w:p w:rsidR="006824DE" w:rsidRPr="0052515A" w:rsidRDefault="00000000">
      <w:pPr>
        <w:spacing w:after="160"/>
        <w:jc w:val="both"/>
        <w:rPr>
          <w:color w:val="000000" w:themeColor="text1"/>
        </w:rPr>
      </w:pPr>
      <w:r w:rsidRPr="0052515A">
        <w:rPr>
          <w:b/>
          <w:bCs/>
          <w:color w:val="000000" w:themeColor="text1"/>
        </w:rPr>
        <w:t xml:space="preserve">9.1 </w:t>
      </w:r>
      <w:r w:rsidRPr="0052515A">
        <w:rPr>
          <w:color w:val="000000" w:themeColor="text1"/>
        </w:rPr>
        <w:t>Each Party shall protect the other’s confidential information with no less than reasonable care, using it only for programme purposes. These obligations do not apply to information that is public, independently developed, or required to be disclosed by law or by the Operative Documents.</w:t>
      </w:r>
    </w:p>
    <w:p w:rsidR="006824DE" w:rsidRPr="0052515A" w:rsidRDefault="00000000">
      <w:pPr>
        <w:spacing w:after="160"/>
        <w:jc w:val="both"/>
        <w:rPr>
          <w:color w:val="000000" w:themeColor="text1"/>
        </w:rPr>
      </w:pPr>
      <w:r w:rsidRPr="0052515A">
        <w:rPr>
          <w:b/>
          <w:bCs/>
          <w:color w:val="000000" w:themeColor="text1"/>
        </w:rPr>
        <w:t xml:space="preserve">9.2 </w:t>
      </w:r>
      <w:r w:rsidRPr="0052515A">
        <w:rPr>
          <w:color w:val="000000" w:themeColor="text1"/>
        </w:rPr>
        <w:t>The Parties acknowledge CERT’s transparency framework: validation and verification reports and opinions are published (Rulebook / Charter Part VI), subject only to the sensitive-information provisions of the applicable templates. The VVB consents to such publication.</w:t>
      </w:r>
    </w:p>
    <w:p w:rsidR="006824DE" w:rsidRPr="0052515A" w:rsidRDefault="00000000">
      <w:pPr>
        <w:spacing w:after="160"/>
        <w:jc w:val="both"/>
        <w:rPr>
          <w:color w:val="000000" w:themeColor="text1"/>
        </w:rPr>
      </w:pPr>
      <w:r w:rsidRPr="0052515A">
        <w:rPr>
          <w:b/>
          <w:bCs/>
          <w:color w:val="000000" w:themeColor="text1"/>
        </w:rPr>
        <w:t xml:space="preserve">9.3 </w:t>
      </w:r>
      <w:r w:rsidRPr="0052515A">
        <w:rPr>
          <w:color w:val="000000" w:themeColor="text1"/>
        </w:rPr>
        <w:t>Each Party shall comply with applicable data protection law, including India’s Digital Personal Data Protection Act, 2023, and, in respect of personal data processed for CERT purposes, with CERT-GOV-007.</w:t>
      </w:r>
    </w:p>
    <w:p w:rsidR="006824DE" w:rsidRPr="0052515A" w:rsidRDefault="00000000">
      <w:pPr>
        <w:pStyle w:val="Heading2"/>
        <w:rPr>
          <w:color w:val="000000" w:themeColor="text1"/>
        </w:rPr>
      </w:pPr>
      <w:r w:rsidRPr="0052515A">
        <w:rPr>
          <w:color w:val="000000" w:themeColor="text1"/>
        </w:rPr>
        <w:t>10. Intellectual Property and Use of Marks</w:t>
      </w:r>
    </w:p>
    <w:p w:rsidR="006824DE" w:rsidRPr="0052515A" w:rsidRDefault="00000000">
      <w:pPr>
        <w:spacing w:after="160"/>
        <w:jc w:val="both"/>
        <w:rPr>
          <w:color w:val="000000" w:themeColor="text1"/>
        </w:rPr>
      </w:pPr>
      <w:r w:rsidRPr="0052515A">
        <w:rPr>
          <w:b/>
          <w:bCs/>
          <w:color w:val="000000" w:themeColor="text1"/>
        </w:rPr>
        <w:t xml:space="preserve">10.1 </w:t>
      </w:r>
      <w:r w:rsidRPr="0052515A">
        <w:rPr>
          <w:color w:val="000000" w:themeColor="text1"/>
        </w:rPr>
        <w:t>The VVB grants CERT a perpetual, irrevocable, royalty-free licence to reproduce, publish and use reports and opinions delivered under CERT engagements for programme purposes. The VVB retains its working papers, subject to CERT’s access rights under Clause 7.2.</w:t>
      </w:r>
    </w:p>
    <w:p w:rsidR="006824DE" w:rsidRPr="0052515A" w:rsidRDefault="00000000">
      <w:pPr>
        <w:spacing w:after="160"/>
        <w:jc w:val="both"/>
        <w:rPr>
          <w:color w:val="000000" w:themeColor="text1"/>
        </w:rPr>
      </w:pPr>
      <w:r w:rsidRPr="0052515A">
        <w:rPr>
          <w:b/>
          <w:bCs/>
          <w:color w:val="000000" w:themeColor="text1"/>
        </w:rPr>
        <w:t xml:space="preserve">10.2 </w:t>
      </w:r>
      <w:r w:rsidRPr="0052515A">
        <w:rPr>
          <w:color w:val="000000" w:themeColor="text1"/>
        </w:rPr>
        <w:t>The VVB may state its CERT approval and use CERT marks solely as permitted by CERT’s published brand guidelines, and shall cease such use upon suspension or termination.</w:t>
      </w:r>
    </w:p>
    <w:p w:rsidR="006824DE" w:rsidRPr="0052515A" w:rsidRDefault="00000000">
      <w:pPr>
        <w:pStyle w:val="Heading2"/>
        <w:rPr>
          <w:color w:val="000000" w:themeColor="text1"/>
        </w:rPr>
      </w:pPr>
      <w:r w:rsidRPr="0052515A">
        <w:rPr>
          <w:color w:val="000000" w:themeColor="text1"/>
        </w:rPr>
        <w:t>11. Representations and Warranties</w:t>
      </w:r>
    </w:p>
    <w:p w:rsidR="006824DE" w:rsidRPr="0052515A" w:rsidRDefault="00000000">
      <w:pPr>
        <w:spacing w:after="160"/>
        <w:jc w:val="both"/>
        <w:rPr>
          <w:color w:val="000000" w:themeColor="text1"/>
        </w:rPr>
      </w:pPr>
      <w:r w:rsidRPr="0052515A">
        <w:rPr>
          <w:b/>
          <w:bCs/>
          <w:color w:val="000000" w:themeColor="text1"/>
        </w:rPr>
        <w:t xml:space="preserve">11.1 </w:t>
      </w:r>
      <w:r w:rsidRPr="0052515A">
        <w:rPr>
          <w:color w:val="000000" w:themeColor="text1"/>
        </w:rPr>
        <w:t>The VVB represents and warrants, on signing and continuously: (a) its application (CERT-FRM-001) was and remains true, accurate and complete; (b) it holds and maintains the required accreditations and insurance; (c) it complies with applicable anti-bribery law, including the Prevention of Corruption Act, 1988 (India), and, where applicable, the US FCPA and UK Bribery Act 2010; (d) neither it nor its beneficial owners or key personnel are subject to applicable sanctions; and (e) it will not retaliate against any person raising concerns under CERT-GOV-004.</w:t>
      </w:r>
    </w:p>
    <w:p w:rsidR="006824DE" w:rsidRPr="0052515A" w:rsidRDefault="00000000">
      <w:pPr>
        <w:pStyle w:val="Heading2"/>
        <w:rPr>
          <w:color w:val="000000" w:themeColor="text1"/>
        </w:rPr>
      </w:pPr>
      <w:r w:rsidRPr="0052515A">
        <w:rPr>
          <w:color w:val="000000" w:themeColor="text1"/>
        </w:rPr>
        <w:t>12. Insurance</w:t>
      </w:r>
    </w:p>
    <w:p w:rsidR="006824DE" w:rsidRPr="0052515A" w:rsidRDefault="00000000">
      <w:pPr>
        <w:spacing w:after="160"/>
        <w:jc w:val="both"/>
        <w:rPr>
          <w:color w:val="000000" w:themeColor="text1"/>
        </w:rPr>
      </w:pPr>
      <w:r w:rsidRPr="0052515A">
        <w:rPr>
          <w:b/>
          <w:bCs/>
          <w:color w:val="000000" w:themeColor="text1"/>
        </w:rPr>
        <w:t xml:space="preserve">12.1 </w:t>
      </w:r>
      <w:r w:rsidRPr="0052515A">
        <w:rPr>
          <w:color w:val="000000" w:themeColor="text1"/>
        </w:rPr>
        <w:t>The VVB shall maintain professional indemnity insurance of not less than [USD 1,000,000] per claim (or such higher amount as the Accreditation Manual specifies for its scopes), covering the Services worldwide, and shall provide certificates on request and upon each renewal.</w:t>
      </w:r>
    </w:p>
    <w:p w:rsidR="006824DE" w:rsidRPr="0052515A" w:rsidRDefault="00000000">
      <w:pPr>
        <w:pStyle w:val="Heading2"/>
        <w:rPr>
          <w:color w:val="000000" w:themeColor="text1"/>
        </w:rPr>
      </w:pPr>
      <w:r w:rsidRPr="0052515A">
        <w:rPr>
          <w:color w:val="000000" w:themeColor="text1"/>
        </w:rPr>
        <w:lastRenderedPageBreak/>
        <w:t>13. Liability and Indemnity</w:t>
      </w:r>
    </w:p>
    <w:p w:rsidR="006824DE" w:rsidRPr="0052515A" w:rsidRDefault="00000000">
      <w:pPr>
        <w:spacing w:after="160"/>
        <w:jc w:val="both"/>
        <w:rPr>
          <w:color w:val="000000" w:themeColor="text1"/>
        </w:rPr>
      </w:pPr>
      <w:r w:rsidRPr="0052515A">
        <w:rPr>
          <w:b/>
          <w:bCs/>
          <w:color w:val="000000" w:themeColor="text1"/>
        </w:rPr>
        <w:t xml:space="preserve">13.1 </w:t>
      </w:r>
      <w:r w:rsidRPr="0052515A">
        <w:rPr>
          <w:color w:val="000000" w:themeColor="text1"/>
        </w:rPr>
        <w:t>The VVB shall indemnify and hold harmless CERT, its trustees, officers, staff and registry technology providers against losses, claims and costs arising from: (a) fraud, wilful misconduct or negligence in the performance of the Services; (b) breach of this Agreement or the Operative Documents; or (c) claims by proponents or third parties arising from the VVB’s acts or omissions.</w:t>
      </w:r>
    </w:p>
    <w:p w:rsidR="006824DE" w:rsidRPr="0052515A" w:rsidRDefault="00000000">
      <w:pPr>
        <w:spacing w:after="160"/>
        <w:jc w:val="both"/>
        <w:rPr>
          <w:color w:val="000000" w:themeColor="text1"/>
        </w:rPr>
      </w:pPr>
      <w:r w:rsidRPr="0052515A">
        <w:rPr>
          <w:b/>
          <w:bCs/>
          <w:color w:val="000000" w:themeColor="text1"/>
        </w:rPr>
        <w:t xml:space="preserve">13.2 </w:t>
      </w:r>
      <w:r w:rsidRPr="0052515A">
        <w:rPr>
          <w:color w:val="000000" w:themeColor="text1"/>
        </w:rPr>
        <w:t>Nothing in this Agreement creates liability of CERT to the VVB for programme decisions made in good faith (including registration, issuance, sanction or accreditation decisions), and CERT’s aggregate liability under this Agreement is limited to the fees paid by the VVB under Clause 8 in the 12 months preceding the claim, save where liability cannot be limited under applicable law.</w:t>
      </w:r>
    </w:p>
    <w:p w:rsidR="006824DE" w:rsidRPr="0052515A" w:rsidRDefault="00000000">
      <w:pPr>
        <w:spacing w:after="160"/>
        <w:jc w:val="both"/>
        <w:rPr>
          <w:color w:val="000000" w:themeColor="text1"/>
        </w:rPr>
      </w:pPr>
      <w:r w:rsidRPr="0052515A">
        <w:rPr>
          <w:b/>
          <w:bCs/>
          <w:color w:val="000000" w:themeColor="text1"/>
        </w:rPr>
        <w:t xml:space="preserve">13.3 </w:t>
      </w:r>
      <w:r w:rsidRPr="0052515A">
        <w:rPr>
          <w:color w:val="000000" w:themeColor="text1"/>
        </w:rPr>
        <w:t>Neither Party is liable for indirect or consequential loss, provided that nothing limits the VVB’s indemnity for fraud or wilful misconduct or CERT’s remedies for over-issuance remediation under Rulebook Section 12.</w:t>
      </w:r>
    </w:p>
    <w:p w:rsidR="006824DE" w:rsidRPr="0052515A" w:rsidRDefault="00000000">
      <w:pPr>
        <w:pStyle w:val="Heading2"/>
        <w:rPr>
          <w:color w:val="000000" w:themeColor="text1"/>
        </w:rPr>
      </w:pPr>
      <w:r w:rsidRPr="0052515A">
        <w:rPr>
          <w:color w:val="000000" w:themeColor="text1"/>
        </w:rPr>
        <w:t>14. Term, Suspension and Termination</w:t>
      </w:r>
    </w:p>
    <w:p w:rsidR="006824DE" w:rsidRPr="0052515A" w:rsidRDefault="00000000">
      <w:pPr>
        <w:spacing w:after="160"/>
        <w:jc w:val="both"/>
        <w:rPr>
          <w:color w:val="000000" w:themeColor="text1"/>
        </w:rPr>
      </w:pPr>
      <w:r w:rsidRPr="0052515A">
        <w:rPr>
          <w:b/>
          <w:bCs/>
          <w:color w:val="000000" w:themeColor="text1"/>
        </w:rPr>
        <w:t xml:space="preserve">14.1 </w:t>
      </w:r>
      <w:r w:rsidRPr="0052515A">
        <w:rPr>
          <w:color w:val="000000" w:themeColor="text1"/>
        </w:rPr>
        <w:t>This Agreement commences on the date first written above and continues until terminated. Either Party may terminate for convenience on 90 days’ written notice; CERT may suspend or terminate immediately for cause (material breach, integrity breach, loss of accreditation, insolvency, or sanction under Rulebook Section 13).</w:t>
      </w:r>
    </w:p>
    <w:p w:rsidR="006824DE" w:rsidRPr="0052515A" w:rsidRDefault="00000000">
      <w:pPr>
        <w:spacing w:after="160"/>
        <w:jc w:val="both"/>
        <w:rPr>
          <w:color w:val="000000" w:themeColor="text1"/>
        </w:rPr>
      </w:pPr>
      <w:r w:rsidRPr="0052515A">
        <w:rPr>
          <w:b/>
          <w:bCs/>
          <w:color w:val="000000" w:themeColor="text1"/>
        </w:rPr>
        <w:t xml:space="preserve">14.2 </w:t>
      </w:r>
      <w:r w:rsidRPr="0052515A">
        <w:rPr>
          <w:color w:val="000000" w:themeColor="text1"/>
        </w:rPr>
        <w:t>On suspension or termination: the VVB shall complete or hand over ongoing CERT engagements as CERT directs, ceasing new acceptances immediately; Clauses 3.2 (for completed work), 7 (for the completed work’s oversight), 9, 10, 11, 13 and 16 survive.</w:t>
      </w:r>
    </w:p>
    <w:p w:rsidR="006824DE" w:rsidRPr="0052515A" w:rsidRDefault="00000000">
      <w:pPr>
        <w:spacing w:after="160"/>
        <w:jc w:val="both"/>
        <w:rPr>
          <w:color w:val="000000" w:themeColor="text1"/>
        </w:rPr>
      </w:pPr>
      <w:r w:rsidRPr="0052515A">
        <w:rPr>
          <w:b/>
          <w:bCs/>
          <w:color w:val="000000" w:themeColor="text1"/>
        </w:rPr>
        <w:t xml:space="preserve">14.3 </w:t>
      </w:r>
      <w:r w:rsidRPr="0052515A">
        <w:rPr>
          <w:color w:val="000000" w:themeColor="text1"/>
        </w:rPr>
        <w:t>Termination does not affect the validity of opinions properly issued before termination, without prejudice to CERT’s remedies where an opinion is affected by breach.</w:t>
      </w:r>
    </w:p>
    <w:p w:rsidR="006824DE" w:rsidRPr="0052515A" w:rsidRDefault="00000000">
      <w:pPr>
        <w:pStyle w:val="Heading2"/>
        <w:rPr>
          <w:color w:val="000000" w:themeColor="text1"/>
        </w:rPr>
      </w:pPr>
      <w:r w:rsidRPr="0052515A">
        <w:rPr>
          <w:color w:val="000000" w:themeColor="text1"/>
        </w:rPr>
        <w:t>15. General</w:t>
      </w:r>
    </w:p>
    <w:p w:rsidR="006824DE" w:rsidRPr="0052515A" w:rsidRDefault="00000000">
      <w:pPr>
        <w:spacing w:after="160"/>
        <w:jc w:val="both"/>
        <w:rPr>
          <w:color w:val="000000" w:themeColor="text1"/>
        </w:rPr>
      </w:pPr>
      <w:r w:rsidRPr="0052515A">
        <w:rPr>
          <w:b/>
          <w:bCs/>
          <w:color w:val="000000" w:themeColor="text1"/>
        </w:rPr>
        <w:t xml:space="preserve">15.1 </w:t>
      </w:r>
      <w:r w:rsidRPr="0052515A">
        <w:rPr>
          <w:color w:val="000000" w:themeColor="text1"/>
        </w:rPr>
        <w:t>Amendments to this Agreement must be in writing signed by both Parties. Amendments to the Operative Documents take effect as published under CERT’s consultation and approval processes and bind the VVB without amendment to this Agreement.</w:t>
      </w:r>
    </w:p>
    <w:p w:rsidR="006824DE" w:rsidRPr="0052515A" w:rsidRDefault="00000000">
      <w:pPr>
        <w:spacing w:after="160"/>
        <w:jc w:val="both"/>
        <w:rPr>
          <w:color w:val="000000" w:themeColor="text1"/>
        </w:rPr>
      </w:pPr>
      <w:r w:rsidRPr="0052515A">
        <w:rPr>
          <w:b/>
          <w:bCs/>
          <w:color w:val="000000" w:themeColor="text1"/>
        </w:rPr>
        <w:t xml:space="preserve">15.2 </w:t>
      </w:r>
      <w:r w:rsidRPr="0052515A">
        <w:rPr>
          <w:color w:val="000000" w:themeColor="text1"/>
        </w:rPr>
        <w:t>The VVB may not assign this Agreement without CERT’s written consent. Notices shall be in writing to the addresses above or through the VVB portal. If any provision is unenforceable, the remainder continues in effect. This Agreement and the Operative Documents constitute the entire agreement on their subject matter.</w:t>
      </w:r>
    </w:p>
    <w:p w:rsidR="006824DE" w:rsidRPr="0052515A" w:rsidRDefault="00000000">
      <w:pPr>
        <w:pStyle w:val="Heading2"/>
        <w:rPr>
          <w:color w:val="000000" w:themeColor="text1"/>
        </w:rPr>
      </w:pPr>
      <w:r w:rsidRPr="0052515A">
        <w:rPr>
          <w:color w:val="000000" w:themeColor="text1"/>
        </w:rPr>
        <w:t>16. Governing Law and Dispute Resolution</w:t>
      </w:r>
    </w:p>
    <w:p w:rsidR="006824DE" w:rsidRPr="0052515A" w:rsidRDefault="00000000">
      <w:pPr>
        <w:spacing w:after="160"/>
        <w:jc w:val="both"/>
        <w:rPr>
          <w:color w:val="000000" w:themeColor="text1"/>
        </w:rPr>
      </w:pPr>
      <w:r w:rsidRPr="0052515A">
        <w:rPr>
          <w:b/>
          <w:bCs/>
          <w:color w:val="000000" w:themeColor="text1"/>
        </w:rPr>
        <w:t xml:space="preserve">16.1 </w:t>
      </w:r>
      <w:r w:rsidRPr="0052515A">
        <w:rPr>
          <w:color w:val="000000" w:themeColor="text1"/>
        </w:rPr>
        <w:t>This Agreement is governed by the laws of India. Disputes shall be finally resolved by arbitration under the (Indian) Arbitration and Conciliation Act, 1996, seated in New Delhi, India, in English, before a sole arbitrator, after exhaustion of applicable internal procedures under Rulebook Section 14.</w:t>
      </w:r>
    </w:p>
    <w:p w:rsidR="006824DE" w:rsidRPr="0052515A" w:rsidRDefault="00000000">
      <w:pPr>
        <w:pStyle w:val="Heading2"/>
        <w:rPr>
          <w:color w:val="000000" w:themeColor="text1"/>
        </w:rPr>
      </w:pPr>
      <w:r w:rsidRPr="0052515A">
        <w:rPr>
          <w:color w:val="000000" w:themeColor="text1"/>
        </w:rPr>
        <w:t>Execution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780"/>
        <w:gridCol w:w="3780"/>
      </w:tblGrid>
      <w:tr w:rsidR="0052515A" w:rsidRPr="0052515A">
        <w:tblPrEx>
          <w:tblCellMar>
            <w:top w:w="0" w:type="dxa"/>
            <w:bottom w:w="0" w:type="dxa"/>
          </w:tblCellMar>
        </w:tblPrEx>
        <w:tc>
          <w:tcPr>
            <w:tcW w:w="18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6824DE" w:rsidRPr="0052515A" w:rsidRDefault="006824DE">
            <w:pPr>
              <w:rPr>
                <w:color w:val="000000" w:themeColor="text1"/>
              </w:rPr>
            </w:pPr>
          </w:p>
        </w:tc>
        <w:tc>
          <w:tcPr>
            <w:tcW w:w="378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6824DE" w:rsidRPr="0052515A" w:rsidRDefault="00000000">
            <w:pPr>
              <w:rPr>
                <w:color w:val="000000" w:themeColor="text1"/>
              </w:rPr>
            </w:pPr>
            <w:r w:rsidRPr="0052515A">
              <w:rPr>
                <w:b/>
                <w:bCs/>
                <w:color w:val="000000" w:themeColor="text1"/>
                <w:sz w:val="20"/>
                <w:szCs w:val="20"/>
              </w:rPr>
              <w:t>For CERT</w:t>
            </w:r>
          </w:p>
        </w:tc>
        <w:tc>
          <w:tcPr>
            <w:tcW w:w="378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6824DE" w:rsidRPr="0052515A" w:rsidRDefault="00000000">
            <w:pPr>
              <w:rPr>
                <w:color w:val="000000" w:themeColor="text1"/>
              </w:rPr>
            </w:pPr>
            <w:r w:rsidRPr="0052515A">
              <w:rPr>
                <w:b/>
                <w:bCs/>
                <w:color w:val="000000" w:themeColor="text1"/>
                <w:sz w:val="20"/>
                <w:szCs w:val="20"/>
              </w:rPr>
              <w:t>For the VVB</w:t>
            </w:r>
          </w:p>
        </w:tc>
      </w:tr>
      <w:tr w:rsidR="0052515A" w:rsidRPr="0052515A">
        <w:tblPrEx>
          <w:tblCellMar>
            <w:top w:w="0" w:type="dxa"/>
            <w:bottom w:w="0" w:type="dxa"/>
          </w:tblCellMar>
        </w:tblPrEx>
        <w:tc>
          <w:tcPr>
            <w:tcW w:w="1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lastRenderedPageBreak/>
              <w:t>Signature</w:t>
            </w: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6824DE">
            <w:pPr>
              <w:rPr>
                <w:color w:val="000000" w:themeColor="text1"/>
              </w:rPr>
            </w:pP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6824DE">
            <w:pPr>
              <w:rPr>
                <w:color w:val="000000" w:themeColor="text1"/>
              </w:rPr>
            </w:pPr>
          </w:p>
        </w:tc>
      </w:tr>
      <w:tr w:rsidR="0052515A" w:rsidRPr="0052515A">
        <w:tblPrEx>
          <w:tblCellMar>
            <w:top w:w="0" w:type="dxa"/>
            <w:bottom w:w="0" w:type="dxa"/>
          </w:tblCellMar>
        </w:tblPrEx>
        <w:tc>
          <w:tcPr>
            <w:tcW w:w="1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Name</w:t>
            </w: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6824DE">
            <w:pPr>
              <w:rPr>
                <w:color w:val="000000" w:themeColor="text1"/>
              </w:rPr>
            </w:pP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6824DE">
            <w:pPr>
              <w:rPr>
                <w:color w:val="000000" w:themeColor="text1"/>
              </w:rPr>
            </w:pPr>
          </w:p>
        </w:tc>
      </w:tr>
      <w:tr w:rsidR="0052515A" w:rsidRPr="0052515A">
        <w:tblPrEx>
          <w:tblCellMar>
            <w:top w:w="0" w:type="dxa"/>
            <w:bottom w:w="0" w:type="dxa"/>
          </w:tblCellMar>
        </w:tblPrEx>
        <w:tc>
          <w:tcPr>
            <w:tcW w:w="1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Title</w:t>
            </w: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6824DE">
            <w:pPr>
              <w:rPr>
                <w:color w:val="000000" w:themeColor="text1"/>
              </w:rPr>
            </w:pP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6824DE">
            <w:pPr>
              <w:rPr>
                <w:color w:val="000000" w:themeColor="text1"/>
              </w:rPr>
            </w:pPr>
          </w:p>
        </w:tc>
      </w:tr>
      <w:tr w:rsidR="0052515A" w:rsidRPr="0052515A">
        <w:tblPrEx>
          <w:tblCellMar>
            <w:top w:w="0" w:type="dxa"/>
            <w:bottom w:w="0" w:type="dxa"/>
          </w:tblCellMar>
        </w:tblPrEx>
        <w:tc>
          <w:tcPr>
            <w:tcW w:w="18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Date</w:t>
            </w: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6824DE">
            <w:pPr>
              <w:rPr>
                <w:color w:val="000000" w:themeColor="text1"/>
              </w:rPr>
            </w:pPr>
          </w:p>
        </w:tc>
        <w:tc>
          <w:tcPr>
            <w:tcW w:w="378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6824DE">
            <w:pPr>
              <w:rPr>
                <w:color w:val="000000" w:themeColor="text1"/>
              </w:rPr>
            </w:pPr>
          </w:p>
        </w:tc>
      </w:tr>
    </w:tbl>
    <w:p w:rsidR="006824DE" w:rsidRPr="0052515A" w:rsidRDefault="00000000">
      <w:pPr>
        <w:pStyle w:val="Heading1"/>
        <w:pageBreakBefore/>
        <w:rPr>
          <w:color w:val="000000" w:themeColor="text1"/>
        </w:rPr>
      </w:pPr>
      <w:r w:rsidRPr="0052515A">
        <w:rPr>
          <w:color w:val="000000" w:themeColor="text1"/>
        </w:rPr>
        <w:lastRenderedPageBreak/>
        <w:t>Schedule A – Approved Scopes and Conditions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00"/>
        <w:gridCol w:w="5960"/>
      </w:tblGrid>
      <w:tr w:rsidR="0052515A" w:rsidRPr="0052515A">
        <w:tblPrEx>
          <w:tblCellMar>
            <w:top w:w="0" w:type="dxa"/>
            <w:bottom w:w="0" w:type="dxa"/>
          </w:tblCellMar>
        </w:tblPrEx>
        <w:tc>
          <w:tcPr>
            <w:tcW w:w="340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6824DE" w:rsidRPr="0052515A" w:rsidRDefault="00000000">
            <w:pPr>
              <w:rPr>
                <w:color w:val="000000" w:themeColor="text1"/>
              </w:rPr>
            </w:pPr>
            <w:r w:rsidRPr="0052515A">
              <w:rPr>
                <w:b/>
                <w:bCs/>
                <w:color w:val="000000" w:themeColor="text1"/>
                <w:sz w:val="20"/>
                <w:szCs w:val="20"/>
              </w:rPr>
              <w:t>Item</w:t>
            </w:r>
          </w:p>
        </w:tc>
        <w:tc>
          <w:tcPr>
            <w:tcW w:w="5960" w:type="dxa"/>
            <w:tcBorders>
              <w:top w:val="single" w:sz="1" w:space="0" w:color="BFBFBF"/>
              <w:left w:val="single" w:sz="1" w:space="0" w:color="BFBFBF"/>
              <w:bottom w:val="single" w:sz="1" w:space="0" w:color="BFBFBF"/>
              <w:right w:val="single" w:sz="1" w:space="0" w:color="BFBFBF"/>
            </w:tcBorders>
            <w:shd w:val="clear" w:color="auto" w:fill="DDEBF7"/>
            <w:tcMar>
              <w:top w:w="80" w:type="dxa"/>
              <w:left w:w="120" w:type="dxa"/>
              <w:bottom w:w="80" w:type="dxa"/>
              <w:right w:w="120" w:type="dxa"/>
            </w:tcMar>
          </w:tcPr>
          <w:p w:rsidR="006824DE" w:rsidRPr="0052515A" w:rsidRDefault="00000000">
            <w:pPr>
              <w:rPr>
                <w:color w:val="000000" w:themeColor="text1"/>
              </w:rPr>
            </w:pPr>
            <w:r w:rsidRPr="0052515A">
              <w:rPr>
                <w:b/>
                <w:bCs/>
                <w:color w:val="000000" w:themeColor="text1"/>
                <w:sz w:val="20"/>
                <w:szCs w:val="20"/>
              </w:rPr>
              <w:t>Entry</w:t>
            </w:r>
          </w:p>
        </w:tc>
      </w:tr>
      <w:tr w:rsidR="0052515A" w:rsidRPr="0052515A">
        <w:tblPrEx>
          <w:tblCellMar>
            <w:top w:w="0" w:type="dxa"/>
            <w:bottom w:w="0" w:type="dxa"/>
          </w:tblCellMar>
        </w:tblPrEx>
        <w:tc>
          <w:tcPr>
            <w:tcW w:w="3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Approved activities</w:t>
            </w:r>
          </w:p>
        </w:tc>
        <w:tc>
          <w:tcPr>
            <w:tcW w:w="5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[Validation / Verification / Joint engagements]</w:t>
            </w:r>
          </w:p>
        </w:tc>
      </w:tr>
      <w:tr w:rsidR="0052515A" w:rsidRPr="0052515A">
        <w:tblPrEx>
          <w:tblCellMar>
            <w:top w:w="0" w:type="dxa"/>
            <w:bottom w:w="0" w:type="dxa"/>
          </w:tblCellMar>
        </w:tblPrEx>
        <w:tc>
          <w:tcPr>
            <w:tcW w:w="3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Approved sectoral scopes</w:t>
            </w:r>
          </w:p>
        </w:tc>
        <w:tc>
          <w:tcPr>
            <w:tcW w:w="5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[Per public VVB register]</w:t>
            </w:r>
          </w:p>
        </w:tc>
      </w:tr>
      <w:tr w:rsidR="0052515A" w:rsidRPr="0052515A">
        <w:tblPrEx>
          <w:tblCellMar>
            <w:top w:w="0" w:type="dxa"/>
            <w:bottom w:w="0" w:type="dxa"/>
          </w:tblCellMar>
        </w:tblPrEx>
        <w:tc>
          <w:tcPr>
            <w:tcW w:w="3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Conditions of approval</w:t>
            </w:r>
          </w:p>
        </w:tc>
        <w:tc>
          <w:tcPr>
            <w:tcW w:w="5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[If any]</w:t>
            </w:r>
          </w:p>
        </w:tc>
      </w:tr>
      <w:tr w:rsidR="0052515A" w:rsidRPr="0052515A">
        <w:tblPrEx>
          <w:tblCellMar>
            <w:top w:w="0" w:type="dxa"/>
            <w:bottom w:w="0" w:type="dxa"/>
          </w:tblCellMar>
        </w:tblPrEx>
        <w:tc>
          <w:tcPr>
            <w:tcW w:w="340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000000">
            <w:pPr>
              <w:rPr>
                <w:color w:val="000000" w:themeColor="text1"/>
              </w:rPr>
            </w:pPr>
            <w:r w:rsidRPr="0052515A">
              <w:rPr>
                <w:color w:val="000000" w:themeColor="text1"/>
                <w:sz w:val="20"/>
                <w:szCs w:val="20"/>
              </w:rPr>
              <w:t>Approval date and register reference</w:t>
            </w:r>
          </w:p>
        </w:tc>
        <w:tc>
          <w:tcPr>
            <w:tcW w:w="5960" w:type="dxa"/>
            <w:tcBorders>
              <w:top w:val="single" w:sz="1" w:space="0" w:color="BFBFBF"/>
              <w:left w:val="single" w:sz="1" w:space="0" w:color="BFBFBF"/>
              <w:bottom w:val="single" w:sz="1" w:space="0" w:color="BFBFBF"/>
              <w:right w:val="single" w:sz="1" w:space="0" w:color="BFBFBF"/>
            </w:tcBorders>
            <w:tcMar>
              <w:top w:w="80" w:type="dxa"/>
              <w:left w:w="120" w:type="dxa"/>
              <w:bottom w:w="80" w:type="dxa"/>
              <w:right w:w="120" w:type="dxa"/>
            </w:tcMar>
          </w:tcPr>
          <w:p w:rsidR="006824DE" w:rsidRPr="0052515A" w:rsidRDefault="006824DE">
            <w:pPr>
              <w:rPr>
                <w:color w:val="000000" w:themeColor="text1"/>
              </w:rPr>
            </w:pPr>
          </w:p>
        </w:tc>
      </w:tr>
    </w:tbl>
    <w:p w:rsidR="006824DE" w:rsidRPr="0052515A" w:rsidRDefault="00000000">
      <w:pPr>
        <w:pStyle w:val="Heading1"/>
        <w:pageBreakBefore/>
        <w:rPr>
          <w:color w:val="000000" w:themeColor="text1"/>
        </w:rPr>
      </w:pPr>
      <w:r w:rsidRPr="0052515A">
        <w:rPr>
          <w:color w:val="000000" w:themeColor="text1"/>
        </w:rPr>
        <w:lastRenderedPageBreak/>
        <w:t>Schedule B – Fees</w:t>
      </w:r>
    </w:p>
    <w:p w:rsidR="006824DE" w:rsidRPr="0052515A" w:rsidRDefault="00000000">
      <w:pPr>
        <w:spacing w:after="160"/>
        <w:jc w:val="both"/>
        <w:rPr>
          <w:color w:val="000000" w:themeColor="text1"/>
        </w:rPr>
      </w:pPr>
      <w:r w:rsidRPr="0052515A">
        <w:rPr>
          <w:color w:val="000000" w:themeColor="text1"/>
        </w:rPr>
        <w:t>Accreditation application fee, annual approval fee, and oversight-activity fees are as set out in the CERT fee schedule (CERT-REG-008) as amended and published from time to time.</w:t>
      </w:r>
    </w:p>
    <w:p w:rsidR="006824DE" w:rsidRPr="0052515A" w:rsidRDefault="00000000">
      <w:pPr>
        <w:pStyle w:val="Heading1"/>
        <w:pageBreakBefore/>
        <w:rPr>
          <w:color w:val="000000" w:themeColor="text1"/>
        </w:rPr>
      </w:pPr>
      <w:r w:rsidRPr="0052515A">
        <w:rPr>
          <w:color w:val="000000" w:themeColor="text1"/>
        </w:rPr>
        <w:lastRenderedPageBreak/>
        <w:t>Schedule C – Mandatory Flow-Down Terms for Engagement Contracts</w:t>
      </w:r>
    </w:p>
    <w:p w:rsidR="006824DE" w:rsidRPr="0052515A" w:rsidRDefault="00000000">
      <w:pPr>
        <w:pStyle w:val="ListParagraph"/>
        <w:numPr>
          <w:ilvl w:val="0"/>
          <w:numId w:val="2"/>
        </w:numPr>
        <w:spacing w:after="100"/>
        <w:jc w:val="both"/>
        <w:rPr>
          <w:color w:val="000000" w:themeColor="text1"/>
        </w:rPr>
      </w:pPr>
      <w:r w:rsidRPr="0052515A">
        <w:rPr>
          <w:color w:val="000000" w:themeColor="text1"/>
        </w:rPr>
        <w:t>Acknowledgement that the VVB’s duty of care in the engagement is owed to CERT and the public interest in the integrity of CRUs (Rulebook 6.3).</w:t>
      </w:r>
    </w:p>
    <w:p w:rsidR="006824DE" w:rsidRPr="0052515A" w:rsidRDefault="00000000">
      <w:pPr>
        <w:pStyle w:val="ListParagraph"/>
        <w:numPr>
          <w:ilvl w:val="0"/>
          <w:numId w:val="2"/>
        </w:numPr>
        <w:spacing w:after="100"/>
        <w:jc w:val="both"/>
        <w:rPr>
          <w:color w:val="000000" w:themeColor="text1"/>
        </w:rPr>
      </w:pPr>
      <w:r w:rsidRPr="0052515A">
        <w:rPr>
          <w:color w:val="000000" w:themeColor="text1"/>
        </w:rPr>
        <w:t>CERT’s right to observe the engagement, access engagement files, and commission spot re-verification.</w:t>
      </w:r>
    </w:p>
    <w:p w:rsidR="006824DE" w:rsidRPr="0052515A" w:rsidRDefault="00000000">
      <w:pPr>
        <w:pStyle w:val="ListParagraph"/>
        <w:numPr>
          <w:ilvl w:val="0"/>
          <w:numId w:val="2"/>
        </w:numPr>
        <w:spacing w:after="100"/>
        <w:jc w:val="both"/>
        <w:rPr>
          <w:color w:val="000000" w:themeColor="text1"/>
        </w:rPr>
      </w:pPr>
      <w:r w:rsidRPr="0052515A">
        <w:rPr>
          <w:color w:val="000000" w:themeColor="text1"/>
        </w:rPr>
        <w:t>Proponent consent to publication of the resulting report and opinion under CERT transparency rules.</w:t>
      </w:r>
    </w:p>
    <w:p w:rsidR="006824DE" w:rsidRPr="0052515A" w:rsidRDefault="00000000">
      <w:pPr>
        <w:pStyle w:val="ListParagraph"/>
        <w:numPr>
          <w:ilvl w:val="0"/>
          <w:numId w:val="2"/>
        </w:numPr>
        <w:spacing w:after="100"/>
        <w:jc w:val="both"/>
        <w:rPr>
          <w:color w:val="000000" w:themeColor="text1"/>
        </w:rPr>
      </w:pPr>
      <w:r w:rsidRPr="0052515A">
        <w:rPr>
          <w:color w:val="000000" w:themeColor="text1"/>
        </w:rPr>
        <w:t>No contingency fees linked to opinion content or issuance volumes.</w:t>
      </w:r>
    </w:p>
    <w:p w:rsidR="006824DE" w:rsidRPr="0052515A" w:rsidRDefault="00000000">
      <w:pPr>
        <w:pStyle w:val="ListParagraph"/>
        <w:numPr>
          <w:ilvl w:val="0"/>
          <w:numId w:val="2"/>
        </w:numPr>
        <w:spacing w:after="100"/>
        <w:jc w:val="both"/>
        <w:rPr>
          <w:color w:val="000000" w:themeColor="text1"/>
        </w:rPr>
      </w:pPr>
      <w:r w:rsidRPr="0052515A">
        <w:rPr>
          <w:color w:val="000000" w:themeColor="text1"/>
        </w:rPr>
        <w:t>Application of the CERT Registry Rulebook and applicable methodology as engagement criteria, including financial-only additionality assessment for validations.</w:t>
      </w:r>
    </w:p>
    <w:p w:rsidR="006824DE" w:rsidRPr="0052515A" w:rsidRDefault="00000000">
      <w:pPr>
        <w:pStyle w:val="ListParagraph"/>
        <w:numPr>
          <w:ilvl w:val="0"/>
          <w:numId w:val="2"/>
        </w:numPr>
        <w:spacing w:after="100"/>
        <w:jc w:val="both"/>
        <w:rPr>
          <w:color w:val="000000" w:themeColor="text1"/>
        </w:rPr>
      </w:pPr>
      <w:r w:rsidRPr="0052515A">
        <w:rPr>
          <w:color w:val="000000" w:themeColor="text1"/>
        </w:rPr>
        <w:t>Anti-corruption warranty and whistleblower non-retaliation consistent with CERT-GOV-004 and CERT-GOV-005.</w:t>
      </w:r>
    </w:p>
    <w:sectPr w:rsidR="006824DE" w:rsidRPr="0052515A">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4B0" w:rsidRDefault="003504B0">
      <w:r>
        <w:separator/>
      </w:r>
    </w:p>
  </w:endnote>
  <w:endnote w:type="continuationSeparator" w:id="0">
    <w:p w:rsidR="003504B0" w:rsidRDefault="00350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4DE" w:rsidRDefault="00000000">
    <w:pP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52515A">
      <w:rPr>
        <w:noProof/>
        <w:color w:val="666666"/>
        <w:sz w:val="18"/>
        <w:szCs w:val="18"/>
      </w:rPr>
      <w:t>1</w:t>
    </w:r>
    <w:r>
      <w:rPr>
        <w:color w:val="666666"/>
        <w:sz w:val="18"/>
        <w:szCs w:val="18"/>
      </w:rPr>
      <w:fldChar w:fldCharType="end"/>
    </w:r>
    <w:r>
      <w:rPr>
        <w:color w:val="666666"/>
        <w:sz w:val="18"/>
        <w:szCs w:val="18"/>
      </w:rPr>
      <w:t xml:space="preserve"> · © 2026 Certified Emissions Reduction Technologies Foundation · Draft for Consultation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4B0" w:rsidRDefault="003504B0">
      <w:r>
        <w:separator/>
      </w:r>
    </w:p>
  </w:footnote>
  <w:footnote w:type="continuationSeparator" w:id="0">
    <w:p w:rsidR="003504B0" w:rsidRDefault="00350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4DE" w:rsidRDefault="00000000">
    <w:pPr>
      <w:pBdr>
        <w:bottom w:val="single" w:sz="4" w:space="4" w:color="1F4E5F"/>
      </w:pBdr>
      <w:tabs>
        <w:tab w:val="right" w:pos="9026"/>
      </w:tabs>
    </w:pPr>
    <w:r>
      <w:rPr>
        <w:noProof/>
      </w:rPr>
      <w:drawing>
        <wp:inline distT="0" distB="0" distL="0" distR="0">
          <wp:extent cx="828675" cy="257175"/>
          <wp:effectExtent l="0" t="0" r="0" b="0"/>
          <wp:docPr id="1" name="cert-logo" descr="CERT — Certified Emissions Reduction Technologies Foundation logo" title="CE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28675" cy="257175"/>
                  </a:xfrm>
                  <a:prstGeom prst="rect">
                    <a:avLst/>
                  </a:prstGeom>
                </pic:spPr>
              </pic:pic>
            </a:graphicData>
          </a:graphic>
        </wp:inline>
      </w:drawing>
    </w:r>
    <w:r>
      <w:rPr>
        <w:color w:val="666666"/>
        <w:sz w:val="18"/>
        <w:szCs w:val="18"/>
      </w:rPr>
      <w:t xml:space="preserve">   VVB Master Services Agreement</w:t>
    </w:r>
    <w:r>
      <w:rPr>
        <w:color w:val="666666"/>
        <w:sz w:val="18"/>
        <w:szCs w:val="18"/>
      </w:rPr>
      <w:tab/>
      <w:t>CERT-LGL-003 · v1.0 · 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EE75B0"/>
    <w:multiLevelType w:val="hybridMultilevel"/>
    <w:tmpl w:val="6D583E4C"/>
    <w:lvl w:ilvl="0" w:tplc="4AEA5BCE">
      <w:start w:val="1"/>
      <w:numFmt w:val="bullet"/>
      <w:lvlText w:val="●"/>
      <w:lvlJc w:val="left"/>
      <w:pPr>
        <w:ind w:left="720" w:hanging="360"/>
      </w:pPr>
    </w:lvl>
    <w:lvl w:ilvl="1" w:tplc="64A2F176">
      <w:start w:val="1"/>
      <w:numFmt w:val="bullet"/>
      <w:lvlText w:val="○"/>
      <w:lvlJc w:val="left"/>
      <w:pPr>
        <w:ind w:left="1440" w:hanging="360"/>
      </w:pPr>
    </w:lvl>
    <w:lvl w:ilvl="2" w:tplc="FB3A9568">
      <w:start w:val="1"/>
      <w:numFmt w:val="bullet"/>
      <w:lvlText w:val="■"/>
      <w:lvlJc w:val="left"/>
      <w:pPr>
        <w:ind w:left="2160" w:hanging="360"/>
      </w:pPr>
    </w:lvl>
    <w:lvl w:ilvl="3" w:tplc="5584018C">
      <w:start w:val="1"/>
      <w:numFmt w:val="bullet"/>
      <w:lvlText w:val="●"/>
      <w:lvlJc w:val="left"/>
      <w:pPr>
        <w:ind w:left="2880" w:hanging="360"/>
      </w:pPr>
    </w:lvl>
    <w:lvl w:ilvl="4" w:tplc="CDC0FDAA">
      <w:start w:val="1"/>
      <w:numFmt w:val="bullet"/>
      <w:lvlText w:val="○"/>
      <w:lvlJc w:val="left"/>
      <w:pPr>
        <w:ind w:left="3600" w:hanging="360"/>
      </w:pPr>
    </w:lvl>
    <w:lvl w:ilvl="5" w:tplc="21AC25B2">
      <w:start w:val="1"/>
      <w:numFmt w:val="bullet"/>
      <w:lvlText w:val="■"/>
      <w:lvlJc w:val="left"/>
      <w:pPr>
        <w:ind w:left="4320" w:hanging="360"/>
      </w:pPr>
    </w:lvl>
    <w:lvl w:ilvl="6" w:tplc="82FC99C2">
      <w:start w:val="1"/>
      <w:numFmt w:val="bullet"/>
      <w:lvlText w:val="●"/>
      <w:lvlJc w:val="left"/>
      <w:pPr>
        <w:ind w:left="5040" w:hanging="360"/>
      </w:pPr>
    </w:lvl>
    <w:lvl w:ilvl="7" w:tplc="190A18B6">
      <w:start w:val="1"/>
      <w:numFmt w:val="bullet"/>
      <w:lvlText w:val="●"/>
      <w:lvlJc w:val="left"/>
      <w:pPr>
        <w:ind w:left="5760" w:hanging="360"/>
      </w:pPr>
    </w:lvl>
    <w:lvl w:ilvl="8" w:tplc="55760F4A">
      <w:start w:val="1"/>
      <w:numFmt w:val="bullet"/>
      <w:lvlText w:val="●"/>
      <w:lvlJc w:val="left"/>
      <w:pPr>
        <w:ind w:left="6480" w:hanging="360"/>
      </w:pPr>
    </w:lvl>
  </w:abstractNum>
  <w:abstractNum w:abstractNumId="1" w15:restartNumberingAfterBreak="0">
    <w:nsid w:val="61B51C66"/>
    <w:multiLevelType w:val="hybridMultilevel"/>
    <w:tmpl w:val="3E4A07B2"/>
    <w:lvl w:ilvl="0" w:tplc="883C039E">
      <w:start w:val="1"/>
      <w:numFmt w:val="bullet"/>
      <w:lvlText w:val="•"/>
      <w:lvlJc w:val="left"/>
      <w:pPr>
        <w:ind w:left="720" w:hanging="360"/>
      </w:pPr>
    </w:lvl>
    <w:lvl w:ilvl="1" w:tplc="15EC85EE">
      <w:numFmt w:val="decimal"/>
      <w:lvlText w:val=""/>
      <w:lvlJc w:val="left"/>
    </w:lvl>
    <w:lvl w:ilvl="2" w:tplc="81BA4E30">
      <w:numFmt w:val="decimal"/>
      <w:lvlText w:val=""/>
      <w:lvlJc w:val="left"/>
    </w:lvl>
    <w:lvl w:ilvl="3" w:tplc="EDFEE2D6">
      <w:numFmt w:val="decimal"/>
      <w:lvlText w:val=""/>
      <w:lvlJc w:val="left"/>
    </w:lvl>
    <w:lvl w:ilvl="4" w:tplc="BAA4D200">
      <w:numFmt w:val="decimal"/>
      <w:lvlText w:val=""/>
      <w:lvlJc w:val="left"/>
    </w:lvl>
    <w:lvl w:ilvl="5" w:tplc="CFC8A498">
      <w:numFmt w:val="decimal"/>
      <w:lvlText w:val=""/>
      <w:lvlJc w:val="left"/>
    </w:lvl>
    <w:lvl w:ilvl="6" w:tplc="08D8CBE6">
      <w:numFmt w:val="decimal"/>
      <w:lvlText w:val=""/>
      <w:lvlJc w:val="left"/>
    </w:lvl>
    <w:lvl w:ilvl="7" w:tplc="DBF6F70A">
      <w:numFmt w:val="decimal"/>
      <w:lvlText w:val=""/>
      <w:lvlJc w:val="left"/>
    </w:lvl>
    <w:lvl w:ilvl="8" w:tplc="FD203BB6">
      <w:numFmt w:val="decimal"/>
      <w:lvlText w:val=""/>
      <w:lvlJc w:val="left"/>
    </w:lvl>
  </w:abstractNum>
  <w:num w:numId="1" w16cid:durableId="720055577">
    <w:abstractNumId w:val="0"/>
    <w:lvlOverride w:ilvl="0">
      <w:startOverride w:val="1"/>
    </w:lvlOverride>
  </w:num>
  <w:num w:numId="2" w16cid:durableId="130562288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DE"/>
    <w:rsid w:val="002E2127"/>
    <w:rsid w:val="003504B0"/>
    <w:rsid w:val="0052515A"/>
    <w:rsid w:val="006824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6D154813"/>
  <w15:docId w15:val="{828B81FC-A959-4B4A-8C24-2E2F65632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240"/>
      <w:outlineLvl w:val="0"/>
    </w:pPr>
    <w:rPr>
      <w:b/>
      <w:bCs/>
      <w:color w:val="1F4E5F"/>
      <w:sz w:val="32"/>
      <w:szCs w:val="32"/>
    </w:rPr>
  </w:style>
  <w:style w:type="paragraph" w:styleId="Heading2">
    <w:name w:val="heading 2"/>
    <w:uiPriority w:val="9"/>
    <w:unhideWhenUsed/>
    <w:qFormat/>
    <w:pPr>
      <w:spacing w:before="240" w:after="160"/>
      <w:outlineLvl w:val="1"/>
    </w:pPr>
    <w:rPr>
      <w:b/>
      <w:bCs/>
      <w:color w:val="2E6E7E"/>
      <w:sz w:val="26"/>
      <w:szCs w:val="26"/>
    </w:rPr>
  </w:style>
  <w:style w:type="paragraph" w:styleId="Heading3">
    <w:name w:val="heading 3"/>
    <w:uiPriority w:val="9"/>
    <w:semiHidden/>
    <w:unhideWhenUsed/>
    <w:qFormat/>
    <w:pPr>
      <w:spacing w:before="200" w:after="120"/>
      <w:outlineLvl w:val="2"/>
    </w:pPr>
    <w:rPr>
      <w:b/>
      <w:bCs/>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2079</Words>
  <Characters>11856</Characters>
  <Application>Microsoft Office Word</Application>
  <DocSecurity>0</DocSecurity>
  <Lines>98</Lines>
  <Paragraphs>27</Paragraphs>
  <ScaleCrop>false</ScaleCrop>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Shailendra Singh Rao</cp:lastModifiedBy>
  <cp:revision>2</cp:revision>
  <dcterms:created xsi:type="dcterms:W3CDTF">2026-07-03T17:17:00Z</dcterms:created>
  <dcterms:modified xsi:type="dcterms:W3CDTF">2026-07-03T17:27:00Z</dcterms:modified>
</cp:coreProperties>
</file>